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7E2BC7" w14:paraId="119E73F0" w14:textId="77777777">
      <w:pPr>
        <w:autoSpaceDE w:val="0"/>
        <w:autoSpaceDN w:val="0"/>
        <w:adjustRightInd w:val="0"/>
        <w:rPr>
          <w:rFonts w:ascii="Arial" w:hAnsi="Arial" w:cs="Arial"/>
          <w:lang w:val="en-US" w:bidi="he-IL"/>
        </w:rPr>
      </w:pPr>
    </w:p>
    <w:p w:rsidR="007A788A" w:rsidRPr="007A788A" w14:paraId="4ADAFA30" w14:textId="77777777">
      <w:pPr>
        <w:keepNext/>
        <w:ind w:left="567" w:hanging="567"/>
        <w:outlineLvl w:val="0"/>
        <w:rPr>
          <w:b/>
          <w:bCs/>
          <w:szCs w:val="22"/>
          <w:lang w:val="en-US"/>
        </w:rPr>
      </w:pPr>
    </w:p>
    <w:p w:rsidR="007E2BC7" w14:paraId="1AB040B2" w14:textId="77777777">
      <w:pPr>
        <w:keepNext/>
        <w:ind w:left="567" w:hanging="567"/>
        <w:outlineLvl w:val="0"/>
        <w:rPr>
          <w:b/>
          <w:bCs/>
          <w:szCs w:val="22"/>
        </w:rPr>
      </w:pPr>
      <w:r>
        <w:rPr>
          <w:b/>
          <w:bCs/>
          <w:szCs w:val="22"/>
        </w:rPr>
        <w:t>1.</w:t>
      </w:r>
      <w:r>
        <w:rPr>
          <w:b/>
          <w:bCs/>
          <w:szCs w:val="22"/>
        </w:rPr>
        <w:tab/>
        <w:t>NAME OF THE MEDICINAL PRODUCT</w:t>
      </w:r>
    </w:p>
    <w:p w:rsidR="007E2BC7" w14:paraId="76AEB14C" w14:textId="77777777">
      <w:pPr>
        <w:keepNext/>
        <w:rPr>
          <w:iCs/>
          <w:szCs w:val="22"/>
        </w:rPr>
      </w:pPr>
    </w:p>
    <w:p w:rsidR="007E2BC7" w:rsidRPr="007C3927" w14:paraId="26D49923" w14:textId="77777777">
      <w:pPr>
        <w:widowControl w:val="0"/>
        <w:rPr>
          <w:szCs w:val="22"/>
          <w:lang w:val="en-US"/>
        </w:rPr>
      </w:pPr>
      <w:r>
        <w:rPr>
          <w:szCs w:val="22"/>
        </w:rPr>
        <w:t>DARZALEX 20 mg/mL I.V.</w:t>
      </w:r>
    </w:p>
    <w:p w:rsidR="007E2BC7" w14:paraId="4503962D" w14:textId="77777777">
      <w:pPr>
        <w:rPr>
          <w:iCs/>
          <w:szCs w:val="22"/>
        </w:rPr>
      </w:pPr>
    </w:p>
    <w:p w:rsidR="007E2BC7" w14:paraId="35A51A9C" w14:textId="77777777">
      <w:pPr>
        <w:rPr>
          <w:iCs/>
          <w:szCs w:val="22"/>
        </w:rPr>
      </w:pPr>
    </w:p>
    <w:p w:rsidR="007E2BC7" w14:paraId="19FA997B" w14:textId="77777777">
      <w:pPr>
        <w:keepNext/>
        <w:ind w:left="567" w:hanging="567"/>
        <w:outlineLvl w:val="0"/>
        <w:rPr>
          <w:b/>
          <w:bCs/>
          <w:szCs w:val="22"/>
        </w:rPr>
      </w:pPr>
      <w:r>
        <w:rPr>
          <w:b/>
          <w:bCs/>
          <w:szCs w:val="22"/>
        </w:rPr>
        <w:t>2.</w:t>
      </w:r>
      <w:r>
        <w:rPr>
          <w:b/>
          <w:bCs/>
          <w:szCs w:val="22"/>
        </w:rPr>
        <w:tab/>
        <w:t>QUALITATIVE AND QUANTITATIVE COMPOSITION</w:t>
      </w:r>
    </w:p>
    <w:p w:rsidR="007E2BC7" w14:paraId="3DDED01C" w14:textId="77777777">
      <w:pPr>
        <w:keepNext/>
        <w:rPr>
          <w:iCs/>
          <w:szCs w:val="22"/>
        </w:rPr>
      </w:pPr>
    </w:p>
    <w:p w:rsidR="007E2BC7" w14:paraId="27E2A681" w14:textId="77777777">
      <w:pPr>
        <w:widowControl w:val="0"/>
        <w:rPr>
          <w:szCs w:val="22"/>
        </w:rPr>
      </w:pPr>
      <w:r>
        <w:rPr>
          <w:szCs w:val="22"/>
        </w:rPr>
        <w:t>Each 5 mL vial contains 100 mg of daratumumab (20 mg daratumumab per mL).</w:t>
      </w:r>
    </w:p>
    <w:p w:rsidR="007E2BC7" w14:paraId="3D1A5EA8" w14:textId="77777777">
      <w:pPr>
        <w:widowControl w:val="0"/>
        <w:rPr>
          <w:szCs w:val="22"/>
        </w:rPr>
      </w:pPr>
      <w:r>
        <w:rPr>
          <w:szCs w:val="22"/>
        </w:rPr>
        <w:t>Each 20 mL vial contains 400 mg of daratumumab (20 mg daratumumab per mL).</w:t>
      </w:r>
    </w:p>
    <w:p w:rsidR="007E2BC7" w14:paraId="37AE2AEC" w14:textId="77777777">
      <w:pPr>
        <w:rPr>
          <w:szCs w:val="22"/>
        </w:rPr>
      </w:pPr>
    </w:p>
    <w:p w:rsidR="007E2BC7" w14:paraId="2FB17C0C" w14:textId="77777777">
      <w:pPr>
        <w:rPr>
          <w:szCs w:val="22"/>
        </w:rPr>
      </w:pPr>
      <w:r>
        <w:rPr>
          <w:szCs w:val="22"/>
        </w:rPr>
        <w:t>Daratumumab is a human monoclonal IgG1κ antibody against CD38 antigen, produced in a mammalian cell line (Chinese Hamster Ovary) using recombinant DNA technology.</w:t>
      </w:r>
    </w:p>
    <w:p w:rsidR="007E2BC7" w14:paraId="46F0A9CE" w14:textId="77777777">
      <w:pPr>
        <w:rPr>
          <w:szCs w:val="22"/>
        </w:rPr>
      </w:pPr>
    </w:p>
    <w:p w:rsidR="007E2BC7" w14:paraId="19AF2EB0" w14:textId="53EEF969">
      <w:pPr>
        <w:keepNext/>
        <w:rPr>
          <w:szCs w:val="22"/>
          <w:u w:val="single"/>
        </w:rPr>
      </w:pPr>
      <w:r>
        <w:rPr>
          <w:szCs w:val="22"/>
          <w:u w:val="single"/>
        </w:rPr>
        <w:t>Excipient with known effect</w:t>
      </w:r>
    </w:p>
    <w:p w:rsidR="00FD1BA3" w:rsidRPr="009A05FF" w:rsidP="00FD1BA3" w14:paraId="314DFF4B" w14:textId="7135B046">
      <w:pPr>
        <w:tabs>
          <w:tab w:val="clear" w:pos="567"/>
        </w:tabs>
      </w:pPr>
      <w:r w:rsidRPr="009A05FF">
        <w:t>Each 5 mL vial of solution for infusion contains 273.3 mg of sorbitol.</w:t>
      </w:r>
    </w:p>
    <w:p w:rsidR="00FD1BA3" w:rsidRPr="009A05FF" w:rsidP="00FD1BA3" w14:paraId="18479CA4" w14:textId="6CE92B5E">
      <w:pPr>
        <w:tabs>
          <w:tab w:val="clear" w:pos="567"/>
        </w:tabs>
      </w:pPr>
      <w:r w:rsidRPr="009A05FF">
        <w:t>Each 20 mL vial of solution for infusion contains 1093 mg of sorbitol.</w:t>
      </w:r>
    </w:p>
    <w:p w:rsidR="009674F1" w14:paraId="537407DF" w14:textId="77777777">
      <w:pPr>
        <w:rPr>
          <w:szCs w:val="22"/>
        </w:rPr>
      </w:pPr>
    </w:p>
    <w:p w:rsidR="007E2BC7" w14:paraId="240A1602" w14:textId="3BDE1FBA">
      <w:pPr>
        <w:rPr>
          <w:szCs w:val="22"/>
        </w:rPr>
      </w:pPr>
      <w:r>
        <w:rPr>
          <w:szCs w:val="22"/>
        </w:rPr>
        <w:t>For the full list of excipients, see section 6.1.</w:t>
      </w:r>
    </w:p>
    <w:p w:rsidR="007E2BC7" w14:paraId="31FB1CB3" w14:textId="6F39A85C">
      <w:pPr>
        <w:tabs>
          <w:tab w:val="clear" w:pos="567"/>
          <w:tab w:val="left" w:pos="4080"/>
        </w:tabs>
        <w:rPr>
          <w:szCs w:val="22"/>
        </w:rPr>
      </w:pPr>
    </w:p>
    <w:p w:rsidR="007E2BC7" w14:paraId="0988CDEE" w14:textId="77777777">
      <w:pPr>
        <w:rPr>
          <w:szCs w:val="22"/>
          <w:lang w:val="en-US"/>
        </w:rPr>
      </w:pPr>
    </w:p>
    <w:p w:rsidR="007E2BC7" w14:paraId="6050E133" w14:textId="77777777">
      <w:pPr>
        <w:keepNext/>
        <w:ind w:left="567" w:hanging="567"/>
        <w:outlineLvl w:val="0"/>
        <w:rPr>
          <w:b/>
          <w:bCs/>
          <w:szCs w:val="22"/>
        </w:rPr>
      </w:pPr>
      <w:r>
        <w:rPr>
          <w:b/>
          <w:bCs/>
          <w:szCs w:val="22"/>
        </w:rPr>
        <w:t>3.</w:t>
      </w:r>
      <w:r>
        <w:rPr>
          <w:b/>
          <w:bCs/>
          <w:szCs w:val="22"/>
        </w:rPr>
        <w:tab/>
        <w:t>PHARMACEUTICAL FORM</w:t>
      </w:r>
    </w:p>
    <w:p w:rsidR="007E2BC7" w14:paraId="19DC5525" w14:textId="77777777">
      <w:pPr>
        <w:keepNext/>
        <w:rPr>
          <w:szCs w:val="22"/>
        </w:rPr>
      </w:pPr>
    </w:p>
    <w:p w:rsidR="007E2BC7" w14:paraId="34BB2A55" w14:textId="77777777">
      <w:pPr>
        <w:rPr>
          <w:szCs w:val="22"/>
        </w:rPr>
      </w:pPr>
      <w:r>
        <w:rPr>
          <w:szCs w:val="22"/>
        </w:rPr>
        <w:t>Concentrate for solution for infusion.</w:t>
      </w:r>
    </w:p>
    <w:p w:rsidR="00FD1BA3" w:rsidRPr="009A05FF" w:rsidP="00FD1BA3" w14:paraId="7C17059A" w14:textId="77777777">
      <w:pPr>
        <w:tabs>
          <w:tab w:val="clear" w:pos="567"/>
        </w:tabs>
        <w:rPr>
          <w:szCs w:val="22"/>
        </w:rPr>
      </w:pPr>
      <w:r>
        <w:rPr>
          <w:szCs w:val="22"/>
        </w:rPr>
        <w:t>The solution is colourless to yellow</w:t>
      </w:r>
      <w:r>
        <w:rPr>
          <w:szCs w:val="22"/>
        </w:rPr>
        <w:t>, with a pH of 5.5 and osmolality of 310 to 370 mOsm/kg</w:t>
      </w:r>
      <w:r w:rsidRPr="009A05FF">
        <w:rPr>
          <w:szCs w:val="22"/>
        </w:rPr>
        <w:t>.</w:t>
      </w:r>
    </w:p>
    <w:p w:rsidR="003A536A" w:rsidRPr="003A536A" w:rsidP="003A536A" w14:paraId="0324B6F6" w14:textId="77777777">
      <w:pPr>
        <w:rPr>
          <w:noProof w:val="0"/>
          <w:szCs w:val="22"/>
        </w:rPr>
      </w:pPr>
    </w:p>
    <w:p w:rsidR="00EA213D" w:rsidRPr="003A536A" w:rsidP="00EA213D" w14:paraId="08364A68" w14:textId="77777777">
      <w:pPr>
        <w:pBdr>
          <w:top w:val="single" w:sz="4" w:space="1" w:color="auto"/>
          <w:left w:val="single" w:sz="4" w:space="4" w:color="auto"/>
          <w:bottom w:val="single" w:sz="4" w:space="1" w:color="auto"/>
          <w:right w:val="single" w:sz="4" w:space="4" w:color="auto"/>
        </w:pBdr>
        <w:rPr>
          <w:noProof w:val="0"/>
          <w:szCs w:val="22"/>
        </w:rPr>
      </w:pPr>
    </w:p>
    <w:p w:rsidR="00EA213D" w:rsidRPr="003A536A" w:rsidP="00EA213D" w14:paraId="25D12078" w14:textId="24A36181">
      <w:pPr>
        <w:pBdr>
          <w:top w:val="single" w:sz="4" w:space="1" w:color="auto"/>
          <w:left w:val="single" w:sz="4" w:space="4" w:color="auto"/>
          <w:bottom w:val="single" w:sz="4" w:space="1" w:color="auto"/>
          <w:right w:val="single" w:sz="4" w:space="4" w:color="auto"/>
        </w:pBdr>
        <w:rPr>
          <w:noProof w:val="0"/>
        </w:rPr>
      </w:pPr>
      <w:r>
        <w:rPr>
          <w:noProof w:val="0"/>
        </w:rPr>
        <w:t>The marketing of DARZALEX 20 MG/ML I.V is subject to risk management plan (RMP) including “Health Care Professional (HCP) Guide” and"</w:t>
      </w:r>
      <w:r w:rsidR="00C40AF2">
        <w:rPr>
          <w:rFonts w:hint="cs"/>
          <w:noProof w:val="0"/>
          <w:rtl/>
          <w:lang w:bidi="he-IL"/>
        </w:rPr>
        <w:t xml:space="preserve"> </w:t>
      </w:r>
      <w:r>
        <w:rPr>
          <w:noProof w:val="0"/>
        </w:rPr>
        <w:t xml:space="preserve">patient </w:t>
      </w:r>
      <w:r w:rsidRPr="1C53FF4C">
        <w:rPr>
          <w:noProof w:val="0"/>
          <w:lang w:val="en-US" w:bidi="he-IL"/>
        </w:rPr>
        <w:t xml:space="preserve">safety information </w:t>
      </w:r>
      <w:r>
        <w:rPr>
          <w:noProof w:val="0"/>
        </w:rPr>
        <w:t xml:space="preserve">card". </w:t>
      </w:r>
    </w:p>
    <w:p w:rsidR="00EA213D" w:rsidRPr="003A536A" w:rsidP="00EA213D" w14:paraId="62D76745" w14:textId="77777777">
      <w:pPr>
        <w:pBdr>
          <w:top w:val="single" w:sz="4" w:space="1" w:color="auto"/>
          <w:left w:val="single" w:sz="4" w:space="4" w:color="auto"/>
          <w:bottom w:val="single" w:sz="4" w:space="1" w:color="auto"/>
          <w:right w:val="single" w:sz="4" w:space="4" w:color="auto"/>
        </w:pBdr>
        <w:rPr>
          <w:noProof w:val="0"/>
        </w:rPr>
      </w:pPr>
    </w:p>
    <w:p w:rsidR="00EA213D" w:rsidRPr="003A536A" w:rsidP="00EA213D" w14:paraId="7CA1AD6F" w14:textId="77777777">
      <w:pPr>
        <w:pBdr>
          <w:top w:val="single" w:sz="4" w:space="1" w:color="auto"/>
          <w:left w:val="single" w:sz="4" w:space="4" w:color="auto"/>
          <w:bottom w:val="single" w:sz="4" w:space="1" w:color="auto"/>
          <w:right w:val="single" w:sz="4" w:space="4" w:color="auto"/>
        </w:pBdr>
        <w:rPr>
          <w:noProof w:val="0"/>
        </w:rPr>
      </w:pPr>
      <w:r>
        <w:rPr>
          <w:noProof w:val="0"/>
        </w:rPr>
        <w:t>HCP Guide</w:t>
      </w:r>
    </w:p>
    <w:p w:rsidR="00EA213D" w:rsidRPr="003A536A" w:rsidP="00EA213D" w14:paraId="618786B0" w14:textId="77777777">
      <w:pPr>
        <w:pBdr>
          <w:top w:val="single" w:sz="4" w:space="1" w:color="auto"/>
          <w:left w:val="single" w:sz="4" w:space="4" w:color="auto"/>
          <w:bottom w:val="single" w:sz="4" w:space="1" w:color="auto"/>
          <w:right w:val="single" w:sz="4" w:space="4" w:color="auto"/>
        </w:pBdr>
        <w:rPr>
          <w:noProof w:val="0"/>
        </w:rPr>
      </w:pPr>
      <w:r>
        <w:rPr>
          <w:noProof w:val="0"/>
        </w:rPr>
        <w:t>This product is marketed with prescriber guide providing important safety information. Please ensure you are familiar with this material as it contains important safety information.</w:t>
      </w:r>
    </w:p>
    <w:p w:rsidR="00EA213D" w:rsidRPr="003A536A" w:rsidP="00EA213D" w14:paraId="27470872" w14:textId="77777777">
      <w:pPr>
        <w:pBdr>
          <w:top w:val="single" w:sz="4" w:space="1" w:color="auto"/>
          <w:left w:val="single" w:sz="4" w:space="4" w:color="auto"/>
          <w:bottom w:val="single" w:sz="4" w:space="1" w:color="auto"/>
          <w:right w:val="single" w:sz="4" w:space="4" w:color="auto"/>
        </w:pBdr>
        <w:rPr>
          <w:noProof w:val="0"/>
        </w:rPr>
      </w:pPr>
    </w:p>
    <w:p w:rsidR="00EA213D" w:rsidRPr="003A536A" w:rsidP="00EA213D" w14:paraId="6B1BD694" w14:textId="77777777">
      <w:pPr>
        <w:pBdr>
          <w:top w:val="single" w:sz="4" w:space="1" w:color="auto"/>
          <w:left w:val="single" w:sz="4" w:space="4" w:color="auto"/>
          <w:bottom w:val="single" w:sz="4" w:space="1" w:color="auto"/>
          <w:right w:val="single" w:sz="4" w:space="4" w:color="auto"/>
        </w:pBdr>
        <w:rPr>
          <w:noProof w:val="0"/>
        </w:rPr>
      </w:pPr>
      <w:r>
        <w:rPr>
          <w:noProof w:val="0"/>
        </w:rPr>
        <w:t>Patient safety information card</w:t>
      </w:r>
    </w:p>
    <w:p w:rsidR="00EA213D" w:rsidRPr="003A536A" w:rsidP="00EA213D" w14:paraId="2603CB73" w14:textId="77777777">
      <w:pPr>
        <w:pBdr>
          <w:top w:val="single" w:sz="4" w:space="1" w:color="auto"/>
          <w:left w:val="single" w:sz="4" w:space="4" w:color="auto"/>
          <w:bottom w:val="single" w:sz="4" w:space="1" w:color="auto"/>
          <w:right w:val="single" w:sz="4" w:space="4" w:color="auto"/>
        </w:pBdr>
        <w:rPr>
          <w:noProof w:val="0"/>
        </w:rPr>
      </w:pPr>
      <w:r>
        <w:rPr>
          <w:noProof w:val="0"/>
        </w:rPr>
        <w:t xml:space="preserve">The "Patient </w:t>
      </w:r>
      <w:r w:rsidRPr="1C53FF4C">
        <w:rPr>
          <w:noProof w:val="0"/>
          <w:lang w:val="en-US" w:bidi="he-IL"/>
        </w:rPr>
        <w:t xml:space="preserve">safety information </w:t>
      </w:r>
      <w:r>
        <w:rPr>
          <w:noProof w:val="0"/>
        </w:rPr>
        <w:t>card" emphasizes important safety information that the patient should be aware of before and during treatment. Please explain to the patient the need to review the card before starting treatment.</w:t>
      </w:r>
    </w:p>
    <w:p w:rsidR="00EA213D" w:rsidRPr="003A536A" w:rsidP="003A536A" w14:paraId="644D62DE" w14:textId="77777777">
      <w:pPr>
        <w:pBdr>
          <w:top w:val="single" w:sz="4" w:space="1" w:color="auto"/>
          <w:left w:val="single" w:sz="4" w:space="4" w:color="auto"/>
          <w:bottom w:val="single" w:sz="4" w:space="1" w:color="auto"/>
          <w:right w:val="single" w:sz="4" w:space="4" w:color="auto"/>
        </w:pBdr>
        <w:rPr>
          <w:noProof w:val="0"/>
          <w:szCs w:val="22"/>
        </w:rPr>
      </w:pPr>
    </w:p>
    <w:p w:rsidR="003A536A" w:rsidRPr="003A536A" w:rsidP="003A536A" w14:paraId="6FC42A3E" w14:textId="77777777">
      <w:pPr>
        <w:rPr>
          <w:noProof w:val="0"/>
          <w:szCs w:val="22"/>
        </w:rPr>
      </w:pPr>
    </w:p>
    <w:p w:rsidR="007E2BC7" w:rsidRPr="003A536A" w14:paraId="2BE4FF60" w14:textId="77777777">
      <w:pPr>
        <w:rPr>
          <w:szCs w:val="22"/>
          <w:lang w:val="en-US"/>
        </w:rPr>
      </w:pPr>
    </w:p>
    <w:p w:rsidR="007E2BC7" w14:paraId="0B25DAD9" w14:textId="77777777">
      <w:pPr>
        <w:keepNext/>
        <w:ind w:left="567" w:hanging="567"/>
        <w:outlineLvl w:val="0"/>
        <w:rPr>
          <w:b/>
          <w:bCs/>
          <w:szCs w:val="22"/>
        </w:rPr>
      </w:pPr>
      <w:r>
        <w:rPr>
          <w:b/>
          <w:bCs/>
          <w:szCs w:val="22"/>
        </w:rPr>
        <w:t>4.</w:t>
      </w:r>
      <w:r>
        <w:rPr>
          <w:b/>
          <w:bCs/>
          <w:szCs w:val="22"/>
        </w:rPr>
        <w:tab/>
        <w:t>CLINICAL PARTICULARS</w:t>
      </w:r>
    </w:p>
    <w:p w:rsidR="007E2BC7" w14:paraId="4649698F" w14:textId="77777777">
      <w:pPr>
        <w:keepNext/>
        <w:rPr>
          <w:szCs w:val="22"/>
        </w:rPr>
      </w:pPr>
    </w:p>
    <w:p w:rsidR="007E2BC7" w14:paraId="09636BAB" w14:textId="77777777">
      <w:pPr>
        <w:keepNext/>
        <w:ind w:left="567" w:hanging="567"/>
        <w:outlineLvl w:val="1"/>
        <w:rPr>
          <w:b/>
          <w:bCs/>
          <w:szCs w:val="22"/>
        </w:rPr>
      </w:pPr>
      <w:r>
        <w:rPr>
          <w:b/>
          <w:bCs/>
          <w:szCs w:val="22"/>
        </w:rPr>
        <w:t>4.1</w:t>
      </w:r>
      <w:r>
        <w:rPr>
          <w:b/>
          <w:bCs/>
          <w:szCs w:val="22"/>
        </w:rPr>
        <w:tab/>
        <w:t>Therapeutic indications</w:t>
      </w:r>
    </w:p>
    <w:p w:rsidR="007E2BC7" w14:paraId="462634FF" w14:textId="77777777">
      <w:pPr>
        <w:keepNext/>
        <w:rPr>
          <w:szCs w:val="22"/>
        </w:rPr>
      </w:pPr>
    </w:p>
    <w:p w:rsidR="007E2BC7" w14:paraId="42CBE51E" w14:textId="37D15DC2">
      <w:pPr>
        <w:keepNext/>
        <w:rPr>
          <w:szCs w:val="22"/>
        </w:rPr>
      </w:pPr>
      <w:r>
        <w:rPr>
          <w:szCs w:val="22"/>
        </w:rPr>
        <w:t>DARZALEX</w:t>
      </w:r>
      <w:r w:rsidR="00A14273">
        <w:rPr>
          <w:szCs w:val="22"/>
        </w:rPr>
        <w:t xml:space="preserve"> is indicated:</w:t>
      </w:r>
    </w:p>
    <w:p w:rsidR="007E2BC7" w14:paraId="23217882" w14:textId="77777777">
      <w:pPr>
        <w:numPr>
          <w:ilvl w:val="0"/>
          <w:numId w:val="3"/>
        </w:numPr>
        <w:ind w:left="567" w:hanging="567"/>
        <w:rPr>
          <w:szCs w:val="22"/>
        </w:rPr>
      </w:pPr>
      <w:r>
        <w:rPr>
          <w:szCs w:val="22"/>
        </w:rPr>
        <w:t>in combination with lenalidomide and dexamethasone or with bortezomib, melphalan and prednisone for the treatment of adult patients with newly diagnosed multiple myeloma who are ineligible for autologous stem cell transplant.</w:t>
      </w:r>
    </w:p>
    <w:p w:rsidR="007E2BC7" w14:paraId="0F9A186B" w14:textId="77777777">
      <w:pPr>
        <w:numPr>
          <w:ilvl w:val="0"/>
          <w:numId w:val="3"/>
        </w:numPr>
        <w:ind w:left="567" w:hanging="567"/>
        <w:rPr>
          <w:szCs w:val="22"/>
        </w:rPr>
      </w:pPr>
      <w:r>
        <w:rPr>
          <w:szCs w:val="22"/>
        </w:rPr>
        <w:t>in combination with bortezomib, thalidomide and dexamethasone for the treatment of adult patients with newly diagnosed multiple myeloma who are eligible for autologous stem cell transplant.</w:t>
      </w:r>
    </w:p>
    <w:p w:rsidR="007E2BC7" w14:paraId="25A785A8" w14:textId="77777777">
      <w:pPr>
        <w:numPr>
          <w:ilvl w:val="0"/>
          <w:numId w:val="3"/>
        </w:numPr>
        <w:ind w:left="567" w:hanging="567"/>
        <w:rPr>
          <w:szCs w:val="22"/>
        </w:rPr>
      </w:pPr>
      <w:r>
        <w:rPr>
          <w:szCs w:val="22"/>
        </w:rPr>
        <w:t>in combination with lenalidomide and dexamethasone, or bortezomib and dexamethasone, for the treatment of adult patients with multiple myeloma who have received at least one prior therapy.</w:t>
      </w:r>
    </w:p>
    <w:p w:rsidR="007E2BC7" w14:paraId="26BF4E22" w14:textId="77777777">
      <w:pPr>
        <w:numPr>
          <w:ilvl w:val="0"/>
          <w:numId w:val="3"/>
        </w:numPr>
        <w:ind w:left="567" w:hanging="567"/>
        <w:rPr>
          <w:szCs w:val="22"/>
        </w:rPr>
      </w:pPr>
      <w:r>
        <w:rPr>
          <w:szCs w:val="22"/>
        </w:rPr>
        <w:t>as monotherapy for the treatment of adult patients with relapsed and refractory multiple myeloma, whose prior therapy included a proteasome inhibitor and an immunomodulatory agent and who have demonstrated disease progression on the last therapy.</w:t>
      </w:r>
    </w:p>
    <w:p w:rsidR="007E2BC7" w14:paraId="14252880" w14:textId="77777777">
      <w:pPr>
        <w:rPr>
          <w:szCs w:val="22"/>
        </w:rPr>
      </w:pPr>
    </w:p>
    <w:p w:rsidR="007E2BC7" w14:paraId="708F682D" w14:textId="77777777">
      <w:pPr>
        <w:keepNext/>
        <w:ind w:left="567" w:hanging="567"/>
        <w:outlineLvl w:val="1"/>
        <w:rPr>
          <w:b/>
          <w:bCs/>
          <w:szCs w:val="22"/>
        </w:rPr>
      </w:pPr>
      <w:r>
        <w:rPr>
          <w:b/>
          <w:bCs/>
          <w:szCs w:val="22"/>
        </w:rPr>
        <w:t>4.2</w:t>
      </w:r>
      <w:r>
        <w:rPr>
          <w:b/>
          <w:bCs/>
          <w:szCs w:val="22"/>
        </w:rPr>
        <w:tab/>
        <w:t>Posology and method of administration</w:t>
      </w:r>
    </w:p>
    <w:p w:rsidR="007E2BC7" w14:paraId="489C7099" w14:textId="77777777">
      <w:pPr>
        <w:keepNext/>
        <w:rPr>
          <w:szCs w:val="22"/>
        </w:rPr>
      </w:pPr>
    </w:p>
    <w:p w:rsidR="007E2BC7" w14:paraId="349866F0" w14:textId="7606BF47">
      <w:pPr>
        <w:rPr>
          <w:szCs w:val="22"/>
        </w:rPr>
      </w:pPr>
      <w:r>
        <w:rPr>
          <w:szCs w:val="22"/>
        </w:rPr>
        <w:t>DARZALEX</w:t>
      </w:r>
      <w:r w:rsidR="00A14273">
        <w:rPr>
          <w:szCs w:val="22"/>
        </w:rPr>
        <w:t xml:space="preserve"> should be administered by a healthcare professional, in an environment where</w:t>
      </w:r>
      <w:r w:rsidR="00A14273">
        <w:t xml:space="preserve"> </w:t>
      </w:r>
      <w:r w:rsidR="00A14273">
        <w:rPr>
          <w:szCs w:val="22"/>
        </w:rPr>
        <w:t>resuscitation facilities are available.</w:t>
      </w:r>
    </w:p>
    <w:p w:rsidR="007E2BC7" w14:paraId="55B1D85B" w14:textId="77777777">
      <w:pPr>
        <w:rPr>
          <w:szCs w:val="22"/>
        </w:rPr>
      </w:pPr>
    </w:p>
    <w:p w:rsidR="007E2BC7" w14:paraId="22C60CBA" w14:textId="77777777">
      <w:pPr>
        <w:rPr>
          <w:szCs w:val="22"/>
        </w:rPr>
      </w:pPr>
      <w:r>
        <w:rPr>
          <w:szCs w:val="22"/>
        </w:rPr>
        <w:t>Pre</w:t>
      </w:r>
      <w:r>
        <w:rPr>
          <w:szCs w:val="22"/>
        </w:rPr>
        <w:noBreakHyphen/>
        <w:t xml:space="preserve"> and post</w:t>
      </w:r>
      <w:r>
        <w:rPr>
          <w:szCs w:val="22"/>
        </w:rPr>
        <w:noBreakHyphen/>
        <w:t>infusion medicinal products should be administered to reduce the risk of infusion</w:t>
      </w:r>
      <w:r>
        <w:rPr>
          <w:szCs w:val="22"/>
        </w:rPr>
        <w:noBreakHyphen/>
        <w:t>related reactions (IRRs) with daratumumab. See below “Recommended concomitant medicinal products”, “Management of infusion</w:t>
      </w:r>
      <w:r>
        <w:rPr>
          <w:szCs w:val="22"/>
        </w:rPr>
        <w:noBreakHyphen/>
        <w:t>related reactions” and section 4.4.</w:t>
      </w:r>
    </w:p>
    <w:p w:rsidR="007E2BC7" w14:paraId="22E3041A" w14:textId="77777777">
      <w:pPr>
        <w:rPr>
          <w:i/>
        </w:rPr>
      </w:pPr>
    </w:p>
    <w:p w:rsidR="007E2BC7" w14:paraId="7A212CB0" w14:textId="4E7D5480">
      <w:pPr>
        <w:keepNext/>
        <w:keepLines/>
        <w:outlineLvl w:val="2"/>
        <w:rPr>
          <w:szCs w:val="22"/>
          <w:u w:val="single"/>
        </w:rPr>
      </w:pPr>
      <w:r>
        <w:rPr>
          <w:szCs w:val="22"/>
          <w:u w:val="single"/>
        </w:rPr>
        <w:t>Posology</w:t>
      </w:r>
    </w:p>
    <w:p w:rsidR="00BE5B9E" w14:paraId="391FA00C" w14:textId="77777777">
      <w:pPr>
        <w:keepNext/>
        <w:keepLines/>
        <w:outlineLvl w:val="2"/>
        <w:rPr>
          <w:szCs w:val="22"/>
          <w:u w:val="single"/>
        </w:rPr>
      </w:pPr>
    </w:p>
    <w:p w:rsidR="007E2BC7" w14:paraId="65BC5492" w14:textId="7BE504E5">
      <w:pPr>
        <w:outlineLvl w:val="3"/>
        <w:rPr>
          <w:i/>
          <w:szCs w:val="22"/>
        </w:rPr>
      </w:pPr>
      <w:r>
        <w:rPr>
          <w:i/>
          <w:szCs w:val="22"/>
        </w:rPr>
        <w:t xml:space="preserve">Dosing schedule in combination with lenalidomide </w:t>
      </w:r>
      <w:r w:rsidRPr="009A05FF" w:rsidR="002D53DA">
        <w:rPr>
          <w:i/>
          <w:szCs w:val="22"/>
        </w:rPr>
        <w:t xml:space="preserve">and dexamethasone </w:t>
      </w:r>
      <w:r>
        <w:rPr>
          <w:i/>
          <w:szCs w:val="22"/>
        </w:rPr>
        <w:t>(4</w:t>
      </w:r>
      <w:r>
        <w:rPr>
          <w:i/>
          <w:szCs w:val="22"/>
        </w:rPr>
        <w:noBreakHyphen/>
        <w:t>week cycle regimen) and for monotherapy</w:t>
      </w:r>
    </w:p>
    <w:p w:rsidR="007E2BC7" w14:paraId="05054FF7" w14:textId="1BF9BA02">
      <w:pPr>
        <w:rPr>
          <w:szCs w:val="22"/>
        </w:rPr>
      </w:pPr>
      <w:r>
        <w:rPr>
          <w:szCs w:val="22"/>
        </w:rPr>
        <w:t xml:space="preserve">The recommended dose is </w:t>
      </w:r>
      <w:r w:rsidR="00E65908">
        <w:rPr>
          <w:szCs w:val="22"/>
        </w:rPr>
        <w:t>DARZALEX</w:t>
      </w:r>
      <w:r>
        <w:rPr>
          <w:szCs w:val="22"/>
        </w:rPr>
        <w:t xml:space="preserve"> 16 mg/kg body weight administered as an intravenous infusion according to the following dosing schedule in table 1.</w:t>
      </w:r>
    </w:p>
    <w:p w:rsidR="007E2BC7" w14:paraId="37D971ED" w14:textId="77777777">
      <w:pPr>
        <w:rPr>
          <w:szCs w:val="22"/>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5068"/>
      </w:tblGrid>
      <w:tr w14:paraId="57D1AC39"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9287" w:type="dxa"/>
            <w:gridSpan w:val="2"/>
            <w:tcBorders>
              <w:top w:val="nil"/>
              <w:left w:val="nil"/>
              <w:right w:val="nil"/>
            </w:tcBorders>
          </w:tcPr>
          <w:p w:rsidR="007E2BC7" w14:paraId="2BF4579B" w14:textId="56619918">
            <w:pPr>
              <w:pStyle w:val="Caption"/>
              <w:spacing w:before="0" w:after="0"/>
              <w:ind w:left="1151" w:hanging="1151"/>
              <w:jc w:val="both"/>
              <w:rPr>
                <w:b w:val="0"/>
              </w:rPr>
            </w:pPr>
            <w:r>
              <w:rPr>
                <w:sz w:val="22"/>
                <w:lang w:val="en-GB"/>
              </w:rPr>
              <w:t>Table 1:</w:t>
            </w:r>
            <w:r>
              <w:rPr>
                <w:sz w:val="22"/>
                <w:lang w:val="en-GB"/>
              </w:rPr>
              <w:tab/>
            </w:r>
            <w:r w:rsidR="00E65908">
              <w:rPr>
                <w:sz w:val="22"/>
                <w:lang w:val="en-GB"/>
              </w:rPr>
              <w:t>DARZALEX</w:t>
            </w:r>
            <w:r>
              <w:rPr>
                <w:sz w:val="22"/>
                <w:lang w:val="en-GB"/>
              </w:rPr>
              <w:t xml:space="preserve"> dosing schedule in combination with lenalidomide </w:t>
            </w:r>
            <w:r w:rsidRPr="00774BD1" w:rsidR="00F84CEC">
              <w:rPr>
                <w:noProof/>
                <w:sz w:val="22"/>
                <w:lang w:val="en-GB"/>
              </w:rPr>
              <w:t>and dexamethasone (Rd)</w:t>
            </w:r>
            <w:r w:rsidR="00F84CEC">
              <w:rPr>
                <w:sz w:val="22"/>
                <w:lang w:val="en-GB"/>
              </w:rPr>
              <w:t xml:space="preserve"> </w:t>
            </w:r>
            <w:r>
              <w:rPr>
                <w:sz w:val="22"/>
                <w:lang w:val="en-GB"/>
              </w:rPr>
              <w:t>(4-week cycle dosing regimen) and monotherapy</w:t>
            </w:r>
          </w:p>
        </w:tc>
      </w:tr>
      <w:tr w14:paraId="01CD1F70" w14:textId="77777777">
        <w:tblPrEx>
          <w:tblW w:w="5000" w:type="pct"/>
          <w:jc w:val="center"/>
          <w:tblLook w:val="04A0"/>
        </w:tblPrEx>
        <w:trPr>
          <w:cantSplit/>
          <w:jc w:val="center"/>
        </w:trPr>
        <w:tc>
          <w:tcPr>
            <w:tcW w:w="4219" w:type="dxa"/>
            <w:tcBorders>
              <w:top w:val="single" w:sz="4" w:space="0" w:color="auto"/>
            </w:tcBorders>
          </w:tcPr>
          <w:p w:rsidR="007E2BC7" w14:paraId="21C8FB86" w14:textId="77777777">
            <w:pPr>
              <w:keepNext/>
              <w:rPr>
                <w:b/>
                <w:szCs w:val="22"/>
              </w:rPr>
            </w:pPr>
            <w:r>
              <w:rPr>
                <w:b/>
                <w:szCs w:val="22"/>
              </w:rPr>
              <w:t>Weeks</w:t>
            </w:r>
          </w:p>
        </w:tc>
        <w:tc>
          <w:tcPr>
            <w:tcW w:w="5068" w:type="dxa"/>
            <w:tcBorders>
              <w:top w:val="single" w:sz="4" w:space="0" w:color="auto"/>
            </w:tcBorders>
          </w:tcPr>
          <w:p w:rsidR="007E2BC7" w14:paraId="3665FDFA" w14:textId="77777777">
            <w:pPr>
              <w:keepNext/>
              <w:rPr>
                <w:b/>
                <w:szCs w:val="22"/>
              </w:rPr>
            </w:pPr>
            <w:r>
              <w:rPr>
                <w:b/>
                <w:szCs w:val="22"/>
              </w:rPr>
              <w:t>Schedule</w:t>
            </w:r>
          </w:p>
        </w:tc>
      </w:tr>
      <w:tr w14:paraId="2430D3F0" w14:textId="77777777">
        <w:tblPrEx>
          <w:tblW w:w="5000" w:type="pct"/>
          <w:jc w:val="center"/>
          <w:tblLook w:val="04A0"/>
        </w:tblPrEx>
        <w:trPr>
          <w:cantSplit/>
          <w:jc w:val="center"/>
        </w:trPr>
        <w:tc>
          <w:tcPr>
            <w:tcW w:w="4219" w:type="dxa"/>
          </w:tcPr>
          <w:p w:rsidR="007E2BC7" w14:paraId="353BC755" w14:textId="77777777">
            <w:pPr>
              <w:rPr>
                <w:szCs w:val="22"/>
              </w:rPr>
            </w:pPr>
            <w:r>
              <w:rPr>
                <w:szCs w:val="22"/>
              </w:rPr>
              <w:t>Weeks 1 to 8</w:t>
            </w:r>
          </w:p>
        </w:tc>
        <w:tc>
          <w:tcPr>
            <w:tcW w:w="5068" w:type="dxa"/>
          </w:tcPr>
          <w:p w:rsidR="007E2BC7" w14:paraId="515AD1D6" w14:textId="77777777">
            <w:pPr>
              <w:rPr>
                <w:szCs w:val="22"/>
              </w:rPr>
            </w:pPr>
            <w:r>
              <w:rPr>
                <w:szCs w:val="22"/>
              </w:rPr>
              <w:t>weekly (total of 8 doses)</w:t>
            </w:r>
          </w:p>
        </w:tc>
      </w:tr>
      <w:tr w14:paraId="66A971F0" w14:textId="77777777">
        <w:tblPrEx>
          <w:tblW w:w="5000" w:type="pct"/>
          <w:jc w:val="center"/>
          <w:tblLook w:val="04A0"/>
        </w:tblPrEx>
        <w:trPr>
          <w:cantSplit/>
          <w:jc w:val="center"/>
        </w:trPr>
        <w:tc>
          <w:tcPr>
            <w:tcW w:w="4219" w:type="dxa"/>
          </w:tcPr>
          <w:p w:rsidR="007E2BC7" w14:paraId="003F65D3" w14:textId="77777777">
            <w:pPr>
              <w:rPr>
                <w:szCs w:val="22"/>
              </w:rPr>
            </w:pPr>
            <w:r>
              <w:rPr>
                <w:szCs w:val="22"/>
              </w:rPr>
              <w:t>Weeks 9 to 24</w:t>
            </w:r>
            <w:r>
              <w:rPr>
                <w:szCs w:val="22"/>
                <w:vertAlign w:val="superscript"/>
              </w:rPr>
              <w:t>a</w:t>
            </w:r>
          </w:p>
        </w:tc>
        <w:tc>
          <w:tcPr>
            <w:tcW w:w="5068" w:type="dxa"/>
          </w:tcPr>
          <w:p w:rsidR="007E2BC7" w14:paraId="1B31F5A5" w14:textId="77777777">
            <w:pPr>
              <w:rPr>
                <w:szCs w:val="22"/>
              </w:rPr>
            </w:pPr>
            <w:r>
              <w:rPr>
                <w:szCs w:val="22"/>
              </w:rPr>
              <w:t>every two weeks</w:t>
            </w:r>
            <w:r>
              <w:t xml:space="preserve"> </w:t>
            </w:r>
            <w:r>
              <w:rPr>
                <w:szCs w:val="22"/>
              </w:rPr>
              <w:t>(total of 8</w:t>
            </w:r>
            <w:r>
              <w:t xml:space="preserve"> </w:t>
            </w:r>
            <w:r>
              <w:rPr>
                <w:szCs w:val="22"/>
              </w:rPr>
              <w:t>doses)</w:t>
            </w:r>
          </w:p>
        </w:tc>
      </w:tr>
      <w:tr w14:paraId="0BC3203B" w14:textId="77777777">
        <w:tblPrEx>
          <w:tblW w:w="5000" w:type="pct"/>
          <w:jc w:val="center"/>
          <w:tblLook w:val="04A0"/>
        </w:tblPrEx>
        <w:trPr>
          <w:cantSplit/>
          <w:jc w:val="center"/>
        </w:trPr>
        <w:tc>
          <w:tcPr>
            <w:tcW w:w="4219" w:type="dxa"/>
          </w:tcPr>
          <w:p w:rsidR="007E2BC7" w14:paraId="0D84F8DB" w14:textId="77777777">
            <w:pPr>
              <w:rPr>
                <w:szCs w:val="22"/>
              </w:rPr>
            </w:pPr>
            <w:r>
              <w:rPr>
                <w:szCs w:val="22"/>
              </w:rPr>
              <w:t>Week 25 onwards until disease progression</w:t>
            </w:r>
            <w:r>
              <w:rPr>
                <w:szCs w:val="22"/>
                <w:vertAlign w:val="superscript"/>
              </w:rPr>
              <w:t>b</w:t>
            </w:r>
          </w:p>
        </w:tc>
        <w:tc>
          <w:tcPr>
            <w:tcW w:w="5068" w:type="dxa"/>
          </w:tcPr>
          <w:p w:rsidR="007E2BC7" w14:paraId="414B95EB" w14:textId="77777777">
            <w:pPr>
              <w:rPr>
                <w:szCs w:val="22"/>
              </w:rPr>
            </w:pPr>
            <w:r>
              <w:rPr>
                <w:szCs w:val="22"/>
              </w:rPr>
              <w:t>every four weeks</w:t>
            </w:r>
          </w:p>
        </w:tc>
      </w:tr>
      <w:tr w14:paraId="632E35FD" w14:textId="77777777">
        <w:tblPrEx>
          <w:tblW w:w="5000" w:type="pct"/>
          <w:jc w:val="center"/>
          <w:tblLook w:val="04A0"/>
        </w:tblPrEx>
        <w:trPr>
          <w:cantSplit/>
          <w:jc w:val="center"/>
        </w:trPr>
        <w:tc>
          <w:tcPr>
            <w:tcW w:w="9287" w:type="dxa"/>
            <w:gridSpan w:val="2"/>
            <w:tcBorders>
              <w:left w:val="nil"/>
              <w:bottom w:val="nil"/>
              <w:right w:val="nil"/>
            </w:tcBorders>
          </w:tcPr>
          <w:p w:rsidR="007E2BC7" w14:paraId="57B83253" w14:textId="1B56F31C">
            <w:pPr>
              <w:tabs>
                <w:tab w:val="left" w:pos="284"/>
                <w:tab w:val="clear" w:pos="567"/>
              </w:tabs>
              <w:ind w:left="284" w:hanging="284"/>
              <w:rPr>
                <w:sz w:val="18"/>
                <w:szCs w:val="18"/>
              </w:rPr>
            </w:pPr>
            <w:r>
              <w:rPr>
                <w:szCs w:val="22"/>
                <w:vertAlign w:val="superscript"/>
              </w:rPr>
              <w:t>a</w:t>
            </w:r>
            <w:r>
              <w:rPr>
                <w:szCs w:val="22"/>
              </w:rPr>
              <w:tab/>
            </w:r>
            <w:r>
              <w:rPr>
                <w:sz w:val="18"/>
                <w:szCs w:val="18"/>
              </w:rPr>
              <w:t>First dose of the every-2-week dosing schedule is given at week 9</w:t>
            </w:r>
            <w:r w:rsidR="00AA6238">
              <w:rPr>
                <w:sz w:val="18"/>
                <w:szCs w:val="18"/>
              </w:rPr>
              <w:t>.</w:t>
            </w:r>
          </w:p>
          <w:p w:rsidR="007E2BC7" w14:paraId="506F9183" w14:textId="21DBC918">
            <w:pPr>
              <w:tabs>
                <w:tab w:val="left" w:pos="284"/>
                <w:tab w:val="clear" w:pos="567"/>
              </w:tabs>
              <w:ind w:left="284" w:hanging="284"/>
            </w:pPr>
            <w:r>
              <w:rPr>
                <w:szCs w:val="22"/>
                <w:vertAlign w:val="superscript"/>
              </w:rPr>
              <w:t>b</w:t>
            </w:r>
            <w:r>
              <w:rPr>
                <w:szCs w:val="22"/>
              </w:rPr>
              <w:tab/>
            </w:r>
            <w:r>
              <w:rPr>
                <w:sz w:val="18"/>
                <w:szCs w:val="18"/>
              </w:rPr>
              <w:t>First dose of the every-4-week dosing schedule is given at week 25</w:t>
            </w:r>
            <w:r w:rsidR="00AA6238">
              <w:rPr>
                <w:sz w:val="18"/>
                <w:szCs w:val="18"/>
              </w:rPr>
              <w:t>.</w:t>
            </w:r>
          </w:p>
        </w:tc>
      </w:tr>
    </w:tbl>
    <w:p w:rsidR="007E2BC7" w14:paraId="7EDA1E39" w14:textId="77777777"/>
    <w:p w:rsidR="00F84CEC" w:rsidP="00F84CEC" w14:paraId="398C9576" w14:textId="24D42F12">
      <w:pPr>
        <w:rPr>
          <w:bCs/>
          <w:szCs w:val="22"/>
        </w:rPr>
      </w:pPr>
      <w:r w:rsidRPr="00774BD1">
        <w:rPr>
          <w:color w:val="000000"/>
        </w:rPr>
        <w:t>Dexamethasone should be administered at</w:t>
      </w:r>
      <w:r w:rsidRPr="00774BD1">
        <w:rPr>
          <w:szCs w:val="22"/>
        </w:rPr>
        <w:t xml:space="preserve"> 40 mg/week (or a reduced dose of 20 mg/week for patients </w:t>
      </w:r>
      <w:r w:rsidRPr="00774BD1">
        <w:rPr>
          <w:bCs/>
          <w:szCs w:val="22"/>
        </w:rPr>
        <w:t>&gt;75 years).</w:t>
      </w:r>
    </w:p>
    <w:p w:rsidR="00F84CEC" w14:paraId="4015CD4F" w14:textId="77777777">
      <w:pPr>
        <w:rPr>
          <w:szCs w:val="22"/>
        </w:rPr>
      </w:pPr>
    </w:p>
    <w:p w:rsidR="007E2BC7" w:rsidP="00EC2EA6" w14:paraId="2548AA9A" w14:textId="60968958">
      <w:pPr>
        <w:rPr>
          <w:szCs w:val="22"/>
        </w:rPr>
      </w:pPr>
      <w:r>
        <w:rPr>
          <w:szCs w:val="22"/>
        </w:rPr>
        <w:t xml:space="preserve">For dose and schedule of </w:t>
      </w:r>
      <w:r>
        <w:t xml:space="preserve">medicinal products administered </w:t>
      </w:r>
      <w:r>
        <w:rPr>
          <w:szCs w:val="22"/>
        </w:rPr>
        <w:t xml:space="preserve">with </w:t>
      </w:r>
      <w:r w:rsidR="00E65908">
        <w:rPr>
          <w:szCs w:val="22"/>
        </w:rPr>
        <w:t>DARZALEX</w:t>
      </w:r>
      <w:r>
        <w:rPr>
          <w:szCs w:val="22"/>
        </w:rPr>
        <w:t xml:space="preserve">, see </w:t>
      </w:r>
      <w:r>
        <w:t>section 5.1</w:t>
      </w:r>
      <w:r>
        <w:rPr>
          <w:szCs w:val="22"/>
        </w:rPr>
        <w:t xml:space="preserve"> and the corresponding </w:t>
      </w:r>
      <w:r w:rsidRPr="0053133F" w:rsidR="00EC2EA6">
        <w:rPr>
          <w:szCs w:val="22"/>
        </w:rPr>
        <w:t>prescribing information (PI)</w:t>
      </w:r>
      <w:r w:rsidR="00EC2EA6">
        <w:rPr>
          <w:szCs w:val="22"/>
        </w:rPr>
        <w:t>.</w:t>
      </w:r>
    </w:p>
    <w:p w:rsidR="009674F1" w:rsidP="00EC2EA6" w14:paraId="5F39821F" w14:textId="77777777">
      <w:pPr>
        <w:rPr>
          <w:u w:val="single"/>
        </w:rPr>
      </w:pPr>
    </w:p>
    <w:p w:rsidR="007E2BC7" w14:paraId="6FC59808" w14:textId="0A1FDD0C">
      <w:pPr>
        <w:keepLines/>
        <w:outlineLvl w:val="3"/>
        <w:rPr>
          <w:i/>
        </w:rPr>
      </w:pPr>
      <w:r>
        <w:rPr>
          <w:i/>
        </w:rPr>
        <w:t>Dosing schedule in combination with bortezomib, melphalan and prednisone (6-week cycle regimens)</w:t>
      </w:r>
    </w:p>
    <w:p w:rsidR="007E2BC7" w14:paraId="0A664CB1" w14:textId="036FD44E">
      <w:pPr>
        <w:rPr>
          <w:szCs w:val="22"/>
        </w:rPr>
      </w:pPr>
      <w:r>
        <w:rPr>
          <w:szCs w:val="22"/>
        </w:rPr>
        <w:t xml:space="preserve">The recommended dose is </w:t>
      </w:r>
      <w:r w:rsidR="00E65908">
        <w:rPr>
          <w:szCs w:val="22"/>
        </w:rPr>
        <w:t>DARZALEX</w:t>
      </w:r>
      <w:r>
        <w:rPr>
          <w:szCs w:val="22"/>
        </w:rPr>
        <w:t xml:space="preserve"> 16 mg/kg body weight administered as an intravenous infusion according to the following dosing schedule in table 2.</w:t>
      </w:r>
    </w:p>
    <w:p w:rsidR="007E2BC7" w14:paraId="1198D76E" w14:textId="77777777">
      <w:pPr>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29"/>
        <w:gridCol w:w="4943"/>
      </w:tblGrid>
      <w:tr w14:paraId="592E6AB7" w14:textId="77777777">
        <w:tblPrEx>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9072" w:type="dxa"/>
            <w:gridSpan w:val="2"/>
            <w:tcBorders>
              <w:top w:val="nil"/>
              <w:left w:val="nil"/>
              <w:right w:val="nil"/>
            </w:tcBorders>
          </w:tcPr>
          <w:p w:rsidR="007E2BC7" w14:paraId="2F8D421F" w14:textId="743057A0">
            <w:pPr>
              <w:pStyle w:val="Caption"/>
              <w:spacing w:before="0" w:after="0"/>
              <w:ind w:left="1151" w:hanging="1151"/>
              <w:jc w:val="both"/>
              <w:rPr>
                <w:lang w:val="en-GB"/>
              </w:rPr>
            </w:pPr>
            <w:r>
              <w:rPr>
                <w:sz w:val="22"/>
                <w:lang w:val="en-GB"/>
              </w:rPr>
              <w:t>Table 2:</w:t>
            </w:r>
            <w:r>
              <w:rPr>
                <w:sz w:val="22"/>
                <w:lang w:val="en-GB"/>
              </w:rPr>
              <w:tab/>
            </w:r>
            <w:r w:rsidR="00E65908">
              <w:rPr>
                <w:sz w:val="22"/>
                <w:lang w:val="en-GB"/>
              </w:rPr>
              <w:t>DARZALEX</w:t>
            </w:r>
            <w:r>
              <w:rPr>
                <w:sz w:val="22"/>
                <w:lang w:val="en-GB"/>
              </w:rPr>
              <w:t xml:space="preserve"> dosing schedule in combination with bortezomib, melphalan and prednisone ([VMP]; 6-week cycle dosing regimen)</w:t>
            </w:r>
          </w:p>
        </w:tc>
      </w:tr>
      <w:tr w14:paraId="71E3C22D" w14:textId="77777777">
        <w:tblPrEx>
          <w:tblW w:w="9072" w:type="dxa"/>
          <w:jc w:val="center"/>
          <w:tblLook w:val="04A0"/>
        </w:tblPrEx>
        <w:trPr>
          <w:cantSplit/>
          <w:jc w:val="center"/>
        </w:trPr>
        <w:tc>
          <w:tcPr>
            <w:tcW w:w="4129" w:type="dxa"/>
            <w:tcBorders>
              <w:top w:val="single" w:sz="4" w:space="0" w:color="auto"/>
            </w:tcBorders>
          </w:tcPr>
          <w:p w:rsidR="007E2BC7" w14:paraId="64C0C4F2" w14:textId="77777777">
            <w:pPr>
              <w:keepNext/>
              <w:rPr>
                <w:b/>
                <w:szCs w:val="22"/>
              </w:rPr>
            </w:pPr>
            <w:r>
              <w:rPr>
                <w:b/>
                <w:szCs w:val="22"/>
              </w:rPr>
              <w:t>Weeks</w:t>
            </w:r>
          </w:p>
        </w:tc>
        <w:tc>
          <w:tcPr>
            <w:tcW w:w="4943" w:type="dxa"/>
            <w:tcBorders>
              <w:top w:val="single" w:sz="4" w:space="0" w:color="auto"/>
            </w:tcBorders>
          </w:tcPr>
          <w:p w:rsidR="007E2BC7" w14:paraId="52506948" w14:textId="77777777">
            <w:pPr>
              <w:keepNext/>
              <w:rPr>
                <w:b/>
                <w:szCs w:val="22"/>
              </w:rPr>
            </w:pPr>
            <w:r>
              <w:rPr>
                <w:b/>
                <w:szCs w:val="22"/>
              </w:rPr>
              <w:t>Schedule</w:t>
            </w:r>
          </w:p>
        </w:tc>
      </w:tr>
      <w:tr w14:paraId="76B6BDFF" w14:textId="77777777">
        <w:tblPrEx>
          <w:tblW w:w="9072" w:type="dxa"/>
          <w:jc w:val="center"/>
          <w:tblLook w:val="04A0"/>
        </w:tblPrEx>
        <w:trPr>
          <w:cantSplit/>
          <w:jc w:val="center"/>
        </w:trPr>
        <w:tc>
          <w:tcPr>
            <w:tcW w:w="4129" w:type="dxa"/>
          </w:tcPr>
          <w:p w:rsidR="007E2BC7" w14:paraId="499D1C14" w14:textId="77777777">
            <w:pPr>
              <w:rPr>
                <w:szCs w:val="22"/>
              </w:rPr>
            </w:pPr>
            <w:r>
              <w:rPr>
                <w:szCs w:val="22"/>
              </w:rPr>
              <w:t>Weeks 1 to 6</w:t>
            </w:r>
          </w:p>
        </w:tc>
        <w:tc>
          <w:tcPr>
            <w:tcW w:w="4943" w:type="dxa"/>
          </w:tcPr>
          <w:p w:rsidR="007E2BC7" w14:paraId="2B4AFC1D" w14:textId="77777777">
            <w:pPr>
              <w:rPr>
                <w:szCs w:val="22"/>
              </w:rPr>
            </w:pPr>
            <w:r>
              <w:rPr>
                <w:szCs w:val="22"/>
              </w:rPr>
              <w:t>weekly (total of 6 doses)</w:t>
            </w:r>
          </w:p>
        </w:tc>
      </w:tr>
      <w:tr w14:paraId="451F4255" w14:textId="77777777">
        <w:tblPrEx>
          <w:tblW w:w="9072" w:type="dxa"/>
          <w:jc w:val="center"/>
          <w:tblLook w:val="04A0"/>
        </w:tblPrEx>
        <w:trPr>
          <w:cantSplit/>
          <w:jc w:val="center"/>
        </w:trPr>
        <w:tc>
          <w:tcPr>
            <w:tcW w:w="4129" w:type="dxa"/>
          </w:tcPr>
          <w:p w:rsidR="007E2BC7" w14:paraId="5BA3DB31" w14:textId="77777777">
            <w:pPr>
              <w:rPr>
                <w:szCs w:val="22"/>
              </w:rPr>
            </w:pPr>
            <w:r>
              <w:rPr>
                <w:szCs w:val="22"/>
              </w:rPr>
              <w:t>Weeks 7 to 54</w:t>
            </w:r>
            <w:r>
              <w:rPr>
                <w:szCs w:val="22"/>
                <w:vertAlign w:val="superscript"/>
              </w:rPr>
              <w:t>a</w:t>
            </w:r>
          </w:p>
        </w:tc>
        <w:tc>
          <w:tcPr>
            <w:tcW w:w="4943" w:type="dxa"/>
          </w:tcPr>
          <w:p w:rsidR="007E2BC7" w14:paraId="381CD4DF" w14:textId="77777777">
            <w:pPr>
              <w:rPr>
                <w:szCs w:val="22"/>
              </w:rPr>
            </w:pPr>
            <w:r>
              <w:rPr>
                <w:szCs w:val="22"/>
              </w:rPr>
              <w:t>every three weeks (total of 16 doses)</w:t>
            </w:r>
          </w:p>
        </w:tc>
      </w:tr>
      <w:tr w14:paraId="4572B638" w14:textId="77777777">
        <w:tblPrEx>
          <w:tblW w:w="9072" w:type="dxa"/>
          <w:jc w:val="center"/>
          <w:tblLook w:val="04A0"/>
        </w:tblPrEx>
        <w:trPr>
          <w:cantSplit/>
          <w:jc w:val="center"/>
        </w:trPr>
        <w:tc>
          <w:tcPr>
            <w:tcW w:w="4129" w:type="dxa"/>
            <w:tcBorders>
              <w:bottom w:val="single" w:sz="4" w:space="0" w:color="auto"/>
            </w:tcBorders>
          </w:tcPr>
          <w:p w:rsidR="007E2BC7" w14:paraId="5B40901E" w14:textId="77777777">
            <w:pPr>
              <w:rPr>
                <w:szCs w:val="22"/>
              </w:rPr>
            </w:pPr>
            <w:r>
              <w:rPr>
                <w:szCs w:val="22"/>
              </w:rPr>
              <w:t>Week 55 onwards until disease progression</w:t>
            </w:r>
            <w:r>
              <w:rPr>
                <w:szCs w:val="22"/>
                <w:vertAlign w:val="superscript"/>
              </w:rPr>
              <w:t>b</w:t>
            </w:r>
          </w:p>
        </w:tc>
        <w:tc>
          <w:tcPr>
            <w:tcW w:w="4943" w:type="dxa"/>
            <w:tcBorders>
              <w:bottom w:val="single" w:sz="4" w:space="0" w:color="auto"/>
            </w:tcBorders>
          </w:tcPr>
          <w:p w:rsidR="007E2BC7" w14:paraId="56E5B58D" w14:textId="77777777">
            <w:pPr>
              <w:rPr>
                <w:szCs w:val="22"/>
              </w:rPr>
            </w:pPr>
            <w:r>
              <w:rPr>
                <w:szCs w:val="22"/>
              </w:rPr>
              <w:t>every four weeks</w:t>
            </w:r>
          </w:p>
        </w:tc>
      </w:tr>
      <w:tr w14:paraId="1446F81A" w14:textId="77777777">
        <w:tblPrEx>
          <w:tblW w:w="9072" w:type="dxa"/>
          <w:jc w:val="center"/>
          <w:tblLook w:val="04A0"/>
        </w:tblPrEx>
        <w:trPr>
          <w:cantSplit/>
          <w:jc w:val="center"/>
        </w:trPr>
        <w:tc>
          <w:tcPr>
            <w:tcW w:w="9072" w:type="dxa"/>
            <w:gridSpan w:val="2"/>
            <w:tcBorders>
              <w:left w:val="nil"/>
              <w:bottom w:val="nil"/>
              <w:right w:val="nil"/>
            </w:tcBorders>
          </w:tcPr>
          <w:p w:rsidR="007E2BC7" w14:paraId="5CC54D92" w14:textId="31FB41DF">
            <w:pPr>
              <w:ind w:left="289" w:hanging="289"/>
              <w:rPr>
                <w:sz w:val="18"/>
                <w:szCs w:val="18"/>
              </w:rPr>
            </w:pPr>
            <w:r>
              <w:rPr>
                <w:vertAlign w:val="superscript"/>
              </w:rPr>
              <w:t>a</w:t>
            </w:r>
            <w:r>
              <w:rPr>
                <w:sz w:val="18"/>
                <w:szCs w:val="18"/>
              </w:rPr>
              <w:tab/>
              <w:t>First dose of the every-3-week dosing schedule is given at week 7</w:t>
            </w:r>
            <w:r w:rsidR="00AA6238">
              <w:rPr>
                <w:sz w:val="18"/>
                <w:szCs w:val="18"/>
              </w:rPr>
              <w:t>.</w:t>
            </w:r>
          </w:p>
          <w:p w:rsidR="007E2BC7" w14:paraId="183DC1F8" w14:textId="58BB87E3">
            <w:pPr>
              <w:ind w:left="289" w:hanging="289"/>
              <w:rPr>
                <w:szCs w:val="22"/>
              </w:rPr>
            </w:pPr>
            <w:r>
              <w:rPr>
                <w:vertAlign w:val="superscript"/>
              </w:rPr>
              <w:t>b</w:t>
            </w:r>
            <w:r>
              <w:rPr>
                <w:sz w:val="18"/>
                <w:szCs w:val="18"/>
                <w:vertAlign w:val="superscript"/>
              </w:rPr>
              <w:tab/>
            </w:r>
            <w:r>
              <w:rPr>
                <w:sz w:val="18"/>
                <w:szCs w:val="18"/>
              </w:rPr>
              <w:t>First dose of the every-4-week dosing schedule is given at week 55</w:t>
            </w:r>
            <w:r w:rsidR="00AA6238">
              <w:rPr>
                <w:szCs w:val="22"/>
              </w:rPr>
              <w:t>.</w:t>
            </w:r>
          </w:p>
        </w:tc>
      </w:tr>
    </w:tbl>
    <w:p w:rsidR="007E2BC7" w14:paraId="01A8A8FC" w14:textId="77777777"/>
    <w:p w:rsidR="007E2BC7" w14:paraId="3E676D1D" w14:textId="7D9E842A">
      <w:pPr>
        <w:rPr>
          <w:b/>
          <w:highlight w:val="yellow"/>
          <w:u w:val="single"/>
        </w:rPr>
      </w:pPr>
      <w:r>
        <w:rPr>
          <w:bCs/>
          <w:iCs/>
          <w:szCs w:val="22"/>
        </w:rPr>
        <w:t xml:space="preserve">Bortezomib is given twice weekly at weeks 1, 2, 4 and 5 for the first 6-week cycle, followed by </w:t>
      </w:r>
      <w:r>
        <w:rPr>
          <w:b/>
          <w:bCs/>
          <w:iCs/>
          <w:szCs w:val="22"/>
        </w:rPr>
        <w:t xml:space="preserve">once </w:t>
      </w:r>
      <w:r>
        <w:rPr>
          <w:bCs/>
          <w:iCs/>
          <w:szCs w:val="22"/>
        </w:rPr>
        <w:t>weekly at weeks 1, 2, 4 and 5 for eight more 6-week cycles. For information on the</w:t>
      </w:r>
      <w:r>
        <w:t xml:space="preserve"> </w:t>
      </w:r>
      <w:r>
        <w:rPr>
          <w:bCs/>
          <w:iCs/>
          <w:szCs w:val="22"/>
        </w:rPr>
        <w:t xml:space="preserve">VMP dose and dosing schedule when administered with </w:t>
      </w:r>
      <w:r w:rsidR="00E65908">
        <w:rPr>
          <w:bCs/>
          <w:iCs/>
          <w:szCs w:val="22"/>
        </w:rPr>
        <w:t>DARZALEX</w:t>
      </w:r>
      <w:r>
        <w:rPr>
          <w:bCs/>
          <w:iCs/>
          <w:szCs w:val="22"/>
        </w:rPr>
        <w:t>,</w:t>
      </w:r>
      <w:r>
        <w:rPr>
          <w:szCs w:val="22"/>
        </w:rPr>
        <w:t xml:space="preserve"> see </w:t>
      </w:r>
      <w:r>
        <w:t>section 5.1</w:t>
      </w:r>
      <w:r>
        <w:rPr>
          <w:szCs w:val="22"/>
        </w:rPr>
        <w:t>.</w:t>
      </w:r>
    </w:p>
    <w:p w:rsidR="007E2BC7" w14:paraId="20D1D9C4" w14:textId="77777777"/>
    <w:p w:rsidR="007E2BC7" w14:paraId="2D9BE62F" w14:textId="454146F4">
      <w:pPr>
        <w:keepLines/>
        <w:outlineLvl w:val="3"/>
        <w:rPr>
          <w:i/>
        </w:rPr>
      </w:pPr>
      <w:bookmarkStart w:id="0" w:name="_Hlk528839913"/>
      <w:r>
        <w:rPr>
          <w:i/>
        </w:rPr>
        <w:t>Dosing schedule in combination with bortezomib</w:t>
      </w:r>
      <w:r>
        <w:rPr>
          <w:i/>
          <w:szCs w:val="22"/>
        </w:rPr>
        <w:t>, thalidomide and dexamethasone (4-</w:t>
      </w:r>
      <w:r>
        <w:rPr>
          <w:i/>
        </w:rPr>
        <w:t xml:space="preserve">week cycle </w:t>
      </w:r>
      <w:r>
        <w:rPr>
          <w:i/>
          <w:szCs w:val="22"/>
        </w:rPr>
        <w:t>regimens) for treatment of newly diagnosed patients eligible for autologous stem cell transplant (ASCT</w:t>
      </w:r>
      <w:r>
        <w:rPr>
          <w:i/>
        </w:rPr>
        <w:t>)</w:t>
      </w:r>
    </w:p>
    <w:p w:rsidR="007E2BC7" w14:paraId="50DA5278" w14:textId="744BD6AE">
      <w:pPr>
        <w:rPr>
          <w:szCs w:val="22"/>
        </w:rPr>
      </w:pPr>
      <w:bookmarkStart w:id="1" w:name="_Hlk528839941"/>
      <w:bookmarkEnd w:id="0"/>
      <w:r>
        <w:rPr>
          <w:szCs w:val="22"/>
        </w:rPr>
        <w:t xml:space="preserve">The recommended dose is </w:t>
      </w:r>
      <w:r w:rsidR="00E65908">
        <w:rPr>
          <w:bCs/>
          <w:iCs/>
          <w:szCs w:val="22"/>
        </w:rPr>
        <w:t>DARZALEX</w:t>
      </w:r>
      <w:r>
        <w:rPr>
          <w:szCs w:val="22"/>
        </w:rPr>
        <w:t xml:space="preserve"> 16 mg/kg body weight administered as an intravenous infusion according to the following dosing schedule in table </w:t>
      </w:r>
      <w:r>
        <w:t>3</w:t>
      </w:r>
      <w:r>
        <w:rPr>
          <w:szCs w:val="22"/>
        </w:rPr>
        <w:t>.</w:t>
      </w:r>
      <w:bookmarkStart w:id="2" w:name="_Hlk524617272"/>
    </w:p>
    <w:p w:rsidR="007E2BC7" w14:paraId="629AA4AD" w14:textId="77777777">
      <w:pPr>
        <w:rPr>
          <w:u w:val="single"/>
        </w:rPr>
      </w:pPr>
      <w:bookmarkStart w:id="3" w:name="_Hlk53644552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4"/>
        <w:gridCol w:w="2972"/>
        <w:gridCol w:w="3911"/>
      </w:tblGrid>
      <w:tr w14:paraId="2F02A260"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8416" w:type="dxa"/>
            <w:gridSpan w:val="3"/>
            <w:tcBorders>
              <w:top w:val="nil"/>
              <w:left w:val="nil"/>
              <w:right w:val="nil"/>
            </w:tcBorders>
          </w:tcPr>
          <w:p w:rsidR="007E2BC7" w14:paraId="61AC6DF1" w14:textId="1C77BB76">
            <w:pPr>
              <w:pStyle w:val="Caption"/>
              <w:spacing w:before="0" w:after="0"/>
              <w:ind w:left="1151" w:hanging="1151"/>
              <w:jc w:val="both"/>
              <w:rPr>
                <w:b w:val="0"/>
                <w:lang w:val="en-GB"/>
              </w:rPr>
            </w:pPr>
            <w:r>
              <w:rPr>
                <w:sz w:val="22"/>
                <w:lang w:val="en-GB"/>
              </w:rPr>
              <w:t>Table 3:</w:t>
            </w:r>
            <w:r>
              <w:rPr>
                <w:sz w:val="22"/>
                <w:lang w:val="en-GB"/>
              </w:rPr>
              <w:tab/>
            </w:r>
            <w:r w:rsidR="00E65908">
              <w:rPr>
                <w:sz w:val="22"/>
                <w:lang w:val="en-GB"/>
              </w:rPr>
              <w:t>DARZALEX</w:t>
            </w:r>
            <w:r>
              <w:rPr>
                <w:sz w:val="22"/>
                <w:lang w:val="en-GB"/>
              </w:rPr>
              <w:t xml:space="preserve"> dosing schedule in combination with bortezomib</w:t>
            </w:r>
            <w:r>
              <w:rPr>
                <w:noProof/>
                <w:sz w:val="22"/>
                <w:lang w:val="en-GB"/>
              </w:rPr>
              <w:t>, thalidomide and dexamethasone ([VTd]; 4</w:t>
            </w:r>
            <w:r>
              <w:rPr>
                <w:sz w:val="22"/>
                <w:lang w:val="en-GB"/>
              </w:rPr>
              <w:t>-week cycle dosing regimen)</w:t>
            </w:r>
          </w:p>
        </w:tc>
      </w:tr>
      <w:tr w14:paraId="5ECE54E5" w14:textId="77777777">
        <w:tblPrEx>
          <w:tblW w:w="5000" w:type="pct"/>
          <w:jc w:val="center"/>
          <w:tblLook w:val="04A0"/>
        </w:tblPrEx>
        <w:trPr>
          <w:cantSplit/>
          <w:jc w:val="center"/>
        </w:trPr>
        <w:tc>
          <w:tcPr>
            <w:tcW w:w="2179" w:type="dxa"/>
            <w:tcBorders>
              <w:top w:val="single" w:sz="4" w:space="0" w:color="auto"/>
            </w:tcBorders>
          </w:tcPr>
          <w:p w:rsidR="007E2BC7" w14:paraId="131BFEF7" w14:textId="77777777">
            <w:pPr>
              <w:keepNext/>
              <w:rPr>
                <w:b/>
                <w:szCs w:val="22"/>
              </w:rPr>
            </w:pPr>
            <w:r>
              <w:rPr>
                <w:b/>
                <w:szCs w:val="22"/>
              </w:rPr>
              <w:t>Treatment phase</w:t>
            </w:r>
          </w:p>
        </w:tc>
        <w:tc>
          <w:tcPr>
            <w:tcW w:w="2693" w:type="dxa"/>
            <w:tcBorders>
              <w:top w:val="single" w:sz="4" w:space="0" w:color="auto"/>
            </w:tcBorders>
          </w:tcPr>
          <w:p w:rsidR="007E2BC7" w14:paraId="34110526" w14:textId="77777777">
            <w:pPr>
              <w:keepNext/>
              <w:rPr>
                <w:b/>
                <w:szCs w:val="22"/>
              </w:rPr>
            </w:pPr>
            <w:r>
              <w:rPr>
                <w:b/>
                <w:szCs w:val="22"/>
              </w:rPr>
              <w:t>Weeks</w:t>
            </w:r>
          </w:p>
        </w:tc>
        <w:tc>
          <w:tcPr>
            <w:tcW w:w="3544" w:type="dxa"/>
            <w:tcBorders>
              <w:top w:val="single" w:sz="4" w:space="0" w:color="auto"/>
            </w:tcBorders>
          </w:tcPr>
          <w:p w:rsidR="007E2BC7" w14:paraId="0BFF5E39" w14:textId="77777777">
            <w:pPr>
              <w:keepNext/>
              <w:rPr>
                <w:b/>
                <w:szCs w:val="22"/>
              </w:rPr>
            </w:pPr>
            <w:r>
              <w:rPr>
                <w:b/>
                <w:szCs w:val="22"/>
              </w:rPr>
              <w:t>Schedule</w:t>
            </w:r>
          </w:p>
        </w:tc>
      </w:tr>
      <w:tr w14:paraId="4E5762CB" w14:textId="77777777">
        <w:tblPrEx>
          <w:tblW w:w="5000" w:type="pct"/>
          <w:jc w:val="center"/>
          <w:tblLook w:val="04A0"/>
        </w:tblPrEx>
        <w:trPr>
          <w:cantSplit/>
          <w:jc w:val="center"/>
        </w:trPr>
        <w:tc>
          <w:tcPr>
            <w:tcW w:w="2179" w:type="dxa"/>
            <w:vMerge w:val="restart"/>
          </w:tcPr>
          <w:p w:rsidR="007E2BC7" w14:paraId="2C9BCB21" w14:textId="77777777">
            <w:pPr>
              <w:rPr>
                <w:szCs w:val="22"/>
              </w:rPr>
            </w:pPr>
            <w:r>
              <w:rPr>
                <w:szCs w:val="22"/>
              </w:rPr>
              <w:t>Induction</w:t>
            </w:r>
          </w:p>
        </w:tc>
        <w:tc>
          <w:tcPr>
            <w:tcW w:w="2693" w:type="dxa"/>
          </w:tcPr>
          <w:p w:rsidR="007E2BC7" w14:paraId="6FCC8714" w14:textId="77777777">
            <w:pPr>
              <w:rPr>
                <w:szCs w:val="22"/>
              </w:rPr>
            </w:pPr>
            <w:r>
              <w:rPr>
                <w:szCs w:val="22"/>
              </w:rPr>
              <w:t>Weeks 1 to 8</w:t>
            </w:r>
          </w:p>
        </w:tc>
        <w:tc>
          <w:tcPr>
            <w:tcW w:w="3544" w:type="dxa"/>
          </w:tcPr>
          <w:p w:rsidR="0096400E" w:rsidRPr="0096400E" w:rsidP="0096400E" w14:paraId="1466FF28" w14:textId="6D0B59A2">
            <w:pPr>
              <w:rPr>
                <w:szCs w:val="22"/>
              </w:rPr>
            </w:pPr>
            <w:r>
              <w:rPr>
                <w:szCs w:val="22"/>
              </w:rPr>
              <w:t>weekly (total of 8 doses)</w:t>
            </w:r>
          </w:p>
        </w:tc>
      </w:tr>
      <w:tr w14:paraId="4DAF4F3A" w14:textId="77777777">
        <w:tblPrEx>
          <w:tblW w:w="5000" w:type="pct"/>
          <w:jc w:val="center"/>
          <w:tblLook w:val="04A0"/>
        </w:tblPrEx>
        <w:trPr>
          <w:cantSplit/>
          <w:jc w:val="center"/>
        </w:trPr>
        <w:tc>
          <w:tcPr>
            <w:tcW w:w="2179" w:type="dxa"/>
            <w:vMerge/>
          </w:tcPr>
          <w:p w:rsidR="007E2BC7" w14:paraId="0975E79B" w14:textId="77777777">
            <w:pPr>
              <w:rPr>
                <w:szCs w:val="22"/>
              </w:rPr>
            </w:pPr>
          </w:p>
        </w:tc>
        <w:tc>
          <w:tcPr>
            <w:tcW w:w="2693" w:type="dxa"/>
          </w:tcPr>
          <w:p w:rsidR="007E2BC7" w14:paraId="0B42E154" w14:textId="77777777">
            <w:pPr>
              <w:rPr>
                <w:szCs w:val="22"/>
              </w:rPr>
            </w:pPr>
            <w:r>
              <w:rPr>
                <w:szCs w:val="22"/>
              </w:rPr>
              <w:t>Weeks 9 to 16</w:t>
            </w:r>
            <w:r>
              <w:rPr>
                <w:szCs w:val="22"/>
                <w:vertAlign w:val="superscript"/>
              </w:rPr>
              <w:t>a</w:t>
            </w:r>
          </w:p>
        </w:tc>
        <w:tc>
          <w:tcPr>
            <w:tcW w:w="3544" w:type="dxa"/>
          </w:tcPr>
          <w:p w:rsidR="0096400E" w:rsidRPr="0096400E" w:rsidP="0096400E" w14:paraId="1FCB19F3" w14:textId="38B2F854">
            <w:pPr>
              <w:rPr>
                <w:szCs w:val="22"/>
              </w:rPr>
            </w:pPr>
            <w:r>
              <w:rPr>
                <w:szCs w:val="22"/>
              </w:rPr>
              <w:t>every two</w:t>
            </w:r>
            <w:r>
              <w:rPr>
                <w:szCs w:val="22"/>
                <w:vertAlign w:val="superscript"/>
              </w:rPr>
              <w:t xml:space="preserve"> </w:t>
            </w:r>
            <w:r>
              <w:rPr>
                <w:szCs w:val="22"/>
              </w:rPr>
              <w:t>weeks (total of 4 doses)</w:t>
            </w:r>
          </w:p>
        </w:tc>
      </w:tr>
      <w:tr w14:paraId="006011DD" w14:textId="77777777">
        <w:tblPrEx>
          <w:tblW w:w="5000" w:type="pct"/>
          <w:jc w:val="center"/>
          <w:tblLook w:val="04A0"/>
        </w:tblPrEx>
        <w:trPr>
          <w:cantSplit/>
          <w:jc w:val="center"/>
        </w:trPr>
        <w:tc>
          <w:tcPr>
            <w:tcW w:w="8416" w:type="dxa"/>
            <w:gridSpan w:val="3"/>
          </w:tcPr>
          <w:p w:rsidR="0096400E" w:rsidRPr="0096400E" w:rsidP="0096400E" w14:paraId="597F36A4" w14:textId="498714C4">
            <w:pPr>
              <w:rPr>
                <w:szCs w:val="22"/>
              </w:rPr>
            </w:pPr>
            <w:r>
              <w:rPr>
                <w:szCs w:val="22"/>
              </w:rPr>
              <w:t>Stop for high dose chemotherapy and ASCT</w:t>
            </w:r>
            <w:r w:rsidR="00591F9E">
              <w:rPr>
                <w:szCs w:val="22"/>
              </w:rPr>
              <w:tab/>
            </w:r>
          </w:p>
        </w:tc>
      </w:tr>
      <w:tr w14:paraId="7A657079" w14:textId="77777777">
        <w:tblPrEx>
          <w:tblW w:w="5000" w:type="pct"/>
          <w:jc w:val="center"/>
          <w:tblLook w:val="04A0"/>
        </w:tblPrEx>
        <w:trPr>
          <w:cantSplit/>
          <w:jc w:val="center"/>
        </w:trPr>
        <w:tc>
          <w:tcPr>
            <w:tcW w:w="2179" w:type="dxa"/>
            <w:tcBorders>
              <w:bottom w:val="single" w:sz="4" w:space="0" w:color="auto"/>
            </w:tcBorders>
          </w:tcPr>
          <w:p w:rsidR="007E2BC7" w14:paraId="009A0E6D" w14:textId="77777777">
            <w:pPr>
              <w:rPr>
                <w:szCs w:val="22"/>
              </w:rPr>
            </w:pPr>
            <w:r>
              <w:rPr>
                <w:szCs w:val="22"/>
              </w:rPr>
              <w:t>Consolidation</w:t>
            </w:r>
          </w:p>
        </w:tc>
        <w:tc>
          <w:tcPr>
            <w:tcW w:w="2693" w:type="dxa"/>
            <w:tcBorders>
              <w:bottom w:val="single" w:sz="4" w:space="0" w:color="auto"/>
            </w:tcBorders>
          </w:tcPr>
          <w:p w:rsidR="007E2BC7" w14:paraId="3128157C" w14:textId="77777777">
            <w:pPr>
              <w:rPr>
                <w:szCs w:val="22"/>
              </w:rPr>
            </w:pPr>
            <w:r>
              <w:rPr>
                <w:szCs w:val="22"/>
              </w:rPr>
              <w:t>Weeks 1 to 8</w:t>
            </w:r>
            <w:r>
              <w:rPr>
                <w:szCs w:val="22"/>
                <w:vertAlign w:val="superscript"/>
              </w:rPr>
              <w:t>b</w:t>
            </w:r>
          </w:p>
        </w:tc>
        <w:tc>
          <w:tcPr>
            <w:tcW w:w="3544" w:type="dxa"/>
            <w:tcBorders>
              <w:bottom w:val="single" w:sz="4" w:space="0" w:color="auto"/>
            </w:tcBorders>
          </w:tcPr>
          <w:p w:rsidR="007E2BC7" w14:paraId="69CD0C80" w14:textId="77777777">
            <w:pPr>
              <w:rPr>
                <w:szCs w:val="22"/>
              </w:rPr>
            </w:pPr>
            <w:r>
              <w:rPr>
                <w:szCs w:val="22"/>
              </w:rPr>
              <w:t>every two weeks</w:t>
            </w:r>
            <w:r>
              <w:rPr>
                <w:szCs w:val="22"/>
                <w:vertAlign w:val="superscript"/>
              </w:rPr>
              <w:t xml:space="preserve"> </w:t>
            </w:r>
            <w:r>
              <w:rPr>
                <w:szCs w:val="22"/>
              </w:rPr>
              <w:t>(total of 4 doses)</w:t>
            </w:r>
          </w:p>
        </w:tc>
      </w:tr>
      <w:tr w14:paraId="4E8BEA26" w14:textId="77777777">
        <w:tblPrEx>
          <w:tblW w:w="5000" w:type="pct"/>
          <w:jc w:val="center"/>
          <w:tblLook w:val="04A0"/>
        </w:tblPrEx>
        <w:trPr>
          <w:cantSplit/>
          <w:jc w:val="center"/>
        </w:trPr>
        <w:tc>
          <w:tcPr>
            <w:tcW w:w="8416" w:type="dxa"/>
            <w:gridSpan w:val="3"/>
            <w:tcBorders>
              <w:left w:val="nil"/>
              <w:bottom w:val="nil"/>
              <w:right w:val="nil"/>
            </w:tcBorders>
          </w:tcPr>
          <w:p w:rsidR="007E2BC7" w14:paraId="2098DA54" w14:textId="7A8102F9">
            <w:pPr>
              <w:ind w:left="360" w:hanging="360"/>
              <w:rPr>
                <w:sz w:val="18"/>
                <w:szCs w:val="18"/>
              </w:rPr>
            </w:pPr>
            <w:r>
              <w:rPr>
                <w:szCs w:val="22"/>
                <w:vertAlign w:val="superscript"/>
              </w:rPr>
              <w:t>a</w:t>
            </w:r>
            <w:r>
              <w:rPr>
                <w:sz w:val="18"/>
                <w:szCs w:val="18"/>
              </w:rPr>
              <w:tab/>
              <w:t>First dose of the every-2-week dosing schedule is given at week 9</w:t>
            </w:r>
            <w:r w:rsidR="00AA6238">
              <w:rPr>
                <w:sz w:val="18"/>
                <w:szCs w:val="18"/>
              </w:rPr>
              <w:t>.</w:t>
            </w:r>
          </w:p>
          <w:p w:rsidR="007E2BC7" w14:paraId="22FC9279" w14:textId="271A20FF">
            <w:pPr>
              <w:ind w:left="360" w:hanging="360"/>
              <w:rPr>
                <w:szCs w:val="22"/>
                <w:u w:val="single"/>
              </w:rPr>
            </w:pPr>
            <w:r>
              <w:rPr>
                <w:szCs w:val="22"/>
                <w:vertAlign w:val="superscript"/>
              </w:rPr>
              <w:t>b</w:t>
            </w:r>
            <w:r>
              <w:rPr>
                <w:sz w:val="18"/>
                <w:szCs w:val="18"/>
              </w:rPr>
              <w:tab/>
              <w:t>First dose of the every-2-week dosing schedule is given at week 1 upon re-initiation of treatment following ASCT</w:t>
            </w:r>
            <w:r w:rsidR="00AA6238">
              <w:rPr>
                <w:szCs w:val="22"/>
                <w:u w:val="single"/>
              </w:rPr>
              <w:t>.</w:t>
            </w:r>
          </w:p>
        </w:tc>
      </w:tr>
      <w:bookmarkEnd w:id="3"/>
    </w:tbl>
    <w:p w:rsidR="007E2BC7" w14:paraId="68A28480" w14:textId="77777777">
      <w:pPr>
        <w:rPr>
          <w:szCs w:val="22"/>
          <w:u w:val="single"/>
        </w:rPr>
      </w:pPr>
    </w:p>
    <w:bookmarkEnd w:id="2"/>
    <w:p w:rsidR="00F84CEC" w:rsidP="00F84CEC" w14:paraId="17C91333" w14:textId="559E5ACA">
      <w:pPr>
        <w:rPr>
          <w:bCs/>
          <w:szCs w:val="22"/>
        </w:rPr>
      </w:pPr>
      <w:r w:rsidRPr="00774BD1">
        <w:rPr>
          <w:color w:val="000000"/>
        </w:rPr>
        <w:t xml:space="preserve">Dexamethasone should be administered at 40 mg on </w:t>
      </w:r>
      <w:r w:rsidR="00AD264E">
        <w:rPr>
          <w:color w:val="000000"/>
        </w:rPr>
        <w:t>d</w:t>
      </w:r>
      <w:r w:rsidRPr="00774BD1">
        <w:rPr>
          <w:color w:val="000000"/>
        </w:rPr>
        <w:t xml:space="preserve">ays 1, 2, 8, 9, 15, 16, </w:t>
      </w:r>
      <w:r w:rsidRPr="00774BD1">
        <w:rPr>
          <w:bCs/>
          <w:color w:val="000000"/>
        </w:rPr>
        <w:t>22 and 23</w:t>
      </w:r>
      <w:r w:rsidRPr="00774BD1">
        <w:rPr>
          <w:color w:val="000000"/>
        </w:rPr>
        <w:t xml:space="preserve"> of </w:t>
      </w:r>
      <w:r w:rsidR="00AD264E">
        <w:rPr>
          <w:color w:val="000000"/>
        </w:rPr>
        <w:t>c</w:t>
      </w:r>
      <w:r w:rsidRPr="00774BD1">
        <w:rPr>
          <w:color w:val="000000"/>
        </w:rPr>
        <w:t>ycles 1 and 2,</w:t>
      </w:r>
      <w:r w:rsidRPr="00774BD1">
        <w:t xml:space="preserve"> and at 40 mg on </w:t>
      </w:r>
      <w:r w:rsidR="00AD264E">
        <w:t>d</w:t>
      </w:r>
      <w:r w:rsidRPr="00774BD1">
        <w:t>ays 1-2 and 20 mg on subsequent dosing days (</w:t>
      </w:r>
      <w:r w:rsidR="007D6C71">
        <w:t>d</w:t>
      </w:r>
      <w:r w:rsidRPr="00774BD1">
        <w:t xml:space="preserve">ays 8, 9, 15, 16) of </w:t>
      </w:r>
      <w:r w:rsidR="00AD264E">
        <w:t>c</w:t>
      </w:r>
      <w:r w:rsidRPr="00774BD1">
        <w:t xml:space="preserve">ycles 3-4. </w:t>
      </w:r>
      <w:r w:rsidRPr="00774BD1">
        <w:rPr>
          <w:bCs/>
          <w:iCs/>
          <w:szCs w:val="22"/>
          <w:lang w:eastAsia="en-GB"/>
        </w:rPr>
        <w:t xml:space="preserve">Dexamethasone 20 mg should be administered on </w:t>
      </w:r>
      <w:r w:rsidR="00AD264E">
        <w:rPr>
          <w:bCs/>
          <w:iCs/>
          <w:szCs w:val="22"/>
          <w:lang w:eastAsia="en-GB"/>
        </w:rPr>
        <w:t>d</w:t>
      </w:r>
      <w:r w:rsidRPr="00774BD1">
        <w:rPr>
          <w:bCs/>
          <w:iCs/>
          <w:szCs w:val="22"/>
          <w:lang w:eastAsia="en-GB"/>
        </w:rPr>
        <w:t xml:space="preserve">ays 1, 2, 8, 9, 15, 16 in </w:t>
      </w:r>
      <w:r w:rsidR="00AD264E">
        <w:rPr>
          <w:bCs/>
          <w:iCs/>
          <w:szCs w:val="22"/>
          <w:lang w:eastAsia="en-GB"/>
        </w:rPr>
        <w:t>c</w:t>
      </w:r>
      <w:r w:rsidRPr="00774BD1">
        <w:rPr>
          <w:bCs/>
          <w:iCs/>
          <w:szCs w:val="22"/>
          <w:lang w:eastAsia="en-GB"/>
        </w:rPr>
        <w:t>ycles 5 and 6.</w:t>
      </w:r>
    </w:p>
    <w:p w:rsidR="00F84CEC" w14:paraId="482A25DB" w14:textId="77777777">
      <w:pPr>
        <w:rPr>
          <w:szCs w:val="22"/>
        </w:rPr>
      </w:pPr>
    </w:p>
    <w:p w:rsidR="007E2BC7" w14:paraId="3DC21464" w14:textId="28B22B0B">
      <w:pPr>
        <w:rPr>
          <w:i/>
          <w:szCs w:val="22"/>
        </w:rPr>
      </w:pPr>
      <w:r>
        <w:rPr>
          <w:szCs w:val="22"/>
        </w:rPr>
        <w:t xml:space="preserve">For dose and schedule of medicinal products administered with </w:t>
      </w:r>
      <w:r w:rsidR="00E65908">
        <w:rPr>
          <w:bCs/>
          <w:iCs/>
          <w:szCs w:val="22"/>
        </w:rPr>
        <w:t>DARZALEX</w:t>
      </w:r>
      <w:r>
        <w:rPr>
          <w:szCs w:val="22"/>
        </w:rPr>
        <w:t xml:space="preserve">, see section 5.1 and the corresponding </w:t>
      </w:r>
      <w:r w:rsidRPr="0053133F" w:rsidR="00EC2EA6">
        <w:rPr>
          <w:szCs w:val="22"/>
        </w:rPr>
        <w:t>prescribing information (PI)</w:t>
      </w:r>
      <w:r w:rsidR="00EC2EA6">
        <w:rPr>
          <w:szCs w:val="22"/>
        </w:rPr>
        <w:t>.</w:t>
      </w:r>
    </w:p>
    <w:bookmarkEnd w:id="1"/>
    <w:p w:rsidR="007E2BC7" w14:paraId="59951DC3" w14:textId="77777777">
      <w:pPr>
        <w:rPr>
          <w:iCs/>
          <w:szCs w:val="22"/>
        </w:rPr>
      </w:pPr>
    </w:p>
    <w:p w:rsidR="007E2BC7" w14:paraId="48A3AF16" w14:textId="05D59B17">
      <w:pPr>
        <w:keepNext/>
        <w:outlineLvl w:val="3"/>
        <w:rPr>
          <w:i/>
          <w:szCs w:val="22"/>
        </w:rPr>
      </w:pPr>
      <w:r>
        <w:rPr>
          <w:i/>
          <w:szCs w:val="22"/>
        </w:rPr>
        <w:t xml:space="preserve">Dosing schedule in combination with bortezomib </w:t>
      </w:r>
      <w:r w:rsidRPr="009A05FF" w:rsidR="000D36BF">
        <w:rPr>
          <w:i/>
          <w:szCs w:val="22"/>
        </w:rPr>
        <w:t xml:space="preserve">and dexamethasone </w:t>
      </w:r>
      <w:r>
        <w:rPr>
          <w:i/>
          <w:szCs w:val="22"/>
        </w:rPr>
        <w:t>(3</w:t>
      </w:r>
      <w:r>
        <w:rPr>
          <w:i/>
          <w:szCs w:val="22"/>
        </w:rPr>
        <w:noBreakHyphen/>
        <w:t>week cycle regimen):</w:t>
      </w:r>
    </w:p>
    <w:p w:rsidR="007E2BC7" w14:paraId="4A80B263" w14:textId="659CA6F0">
      <w:pPr>
        <w:rPr>
          <w:szCs w:val="22"/>
        </w:rPr>
      </w:pPr>
      <w:r>
        <w:rPr>
          <w:szCs w:val="22"/>
        </w:rPr>
        <w:t xml:space="preserve">The recommended dose is </w:t>
      </w:r>
      <w:r w:rsidR="00E65908">
        <w:rPr>
          <w:szCs w:val="22"/>
        </w:rPr>
        <w:t>DARZALEX</w:t>
      </w:r>
      <w:r>
        <w:rPr>
          <w:szCs w:val="22"/>
        </w:rPr>
        <w:t xml:space="preserve"> 16 mg/kg body weight administered as an intravenous infusion according to the following dosing schedule in table 4.</w:t>
      </w:r>
    </w:p>
    <w:p w:rsidR="007E2BC7" w14:paraId="4648602C" w14:textId="77777777">
      <w:pPr>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29"/>
        <w:gridCol w:w="4943"/>
      </w:tblGrid>
      <w:tr w14:paraId="13034E53" w14:textId="77777777">
        <w:tblPrEx>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9287" w:type="dxa"/>
            <w:gridSpan w:val="2"/>
            <w:tcBorders>
              <w:top w:val="nil"/>
              <w:left w:val="nil"/>
              <w:right w:val="nil"/>
            </w:tcBorders>
          </w:tcPr>
          <w:p w:rsidR="007E2BC7" w14:paraId="619E5A83" w14:textId="45BD3F2C">
            <w:pPr>
              <w:pStyle w:val="Caption"/>
              <w:spacing w:before="0" w:after="0"/>
              <w:ind w:left="1151" w:hanging="1151"/>
              <w:jc w:val="both"/>
              <w:rPr>
                <w:b w:val="0"/>
                <w:bCs w:val="0"/>
                <w:szCs w:val="22"/>
              </w:rPr>
            </w:pPr>
            <w:r>
              <w:rPr>
                <w:noProof/>
                <w:sz w:val="22"/>
                <w:lang w:val="en-GB"/>
              </w:rPr>
              <w:t>Table 4:</w:t>
            </w:r>
            <w:r>
              <w:rPr>
                <w:noProof/>
                <w:sz w:val="22"/>
                <w:lang w:val="en-GB"/>
              </w:rPr>
              <w:tab/>
            </w:r>
            <w:r w:rsidR="00E65908">
              <w:rPr>
                <w:noProof/>
                <w:sz w:val="22"/>
                <w:lang w:val="en-GB"/>
              </w:rPr>
              <w:t>DARZALEX</w:t>
            </w:r>
            <w:r>
              <w:rPr>
                <w:noProof/>
                <w:sz w:val="22"/>
                <w:lang w:val="en-GB"/>
              </w:rPr>
              <w:t xml:space="preserve"> dosing schedule in combination with bortezomib </w:t>
            </w:r>
            <w:r w:rsidRPr="00774BD1" w:rsidR="00F84CEC">
              <w:rPr>
                <w:noProof/>
                <w:sz w:val="22"/>
                <w:lang w:val="en-GB"/>
              </w:rPr>
              <w:t xml:space="preserve">and dexamethasone (Vd) </w:t>
            </w:r>
            <w:r>
              <w:rPr>
                <w:noProof/>
                <w:sz w:val="22"/>
                <w:lang w:val="en-GB"/>
              </w:rPr>
              <w:t>(3-week cycle dosing regimen)</w:t>
            </w:r>
          </w:p>
        </w:tc>
      </w:tr>
      <w:tr w14:paraId="724297C3" w14:textId="77777777">
        <w:tblPrEx>
          <w:tblW w:w="9072" w:type="dxa"/>
          <w:jc w:val="center"/>
          <w:tblLook w:val="04A0"/>
        </w:tblPrEx>
        <w:trPr>
          <w:cantSplit/>
          <w:jc w:val="center"/>
        </w:trPr>
        <w:tc>
          <w:tcPr>
            <w:tcW w:w="4219" w:type="dxa"/>
            <w:tcBorders>
              <w:top w:val="single" w:sz="4" w:space="0" w:color="auto"/>
            </w:tcBorders>
          </w:tcPr>
          <w:p w:rsidR="007E2BC7" w14:paraId="00E08DDD" w14:textId="77777777">
            <w:pPr>
              <w:keepNext/>
              <w:rPr>
                <w:b/>
                <w:szCs w:val="22"/>
              </w:rPr>
            </w:pPr>
            <w:r>
              <w:rPr>
                <w:b/>
                <w:szCs w:val="22"/>
                <w:lang w:eastAsia="en-GB"/>
              </w:rPr>
              <w:t>Weeks</w:t>
            </w:r>
          </w:p>
        </w:tc>
        <w:tc>
          <w:tcPr>
            <w:tcW w:w="5068" w:type="dxa"/>
            <w:tcBorders>
              <w:top w:val="single" w:sz="4" w:space="0" w:color="auto"/>
            </w:tcBorders>
          </w:tcPr>
          <w:p w:rsidR="007E2BC7" w14:paraId="41AF043E" w14:textId="77777777">
            <w:pPr>
              <w:keepNext/>
              <w:rPr>
                <w:b/>
                <w:szCs w:val="22"/>
              </w:rPr>
            </w:pPr>
            <w:r>
              <w:rPr>
                <w:b/>
                <w:szCs w:val="22"/>
                <w:lang w:eastAsia="en-GB"/>
              </w:rPr>
              <w:t>Schedule</w:t>
            </w:r>
          </w:p>
        </w:tc>
      </w:tr>
      <w:tr w14:paraId="56DF8503" w14:textId="77777777">
        <w:tblPrEx>
          <w:tblW w:w="9072" w:type="dxa"/>
          <w:jc w:val="center"/>
          <w:tblLook w:val="04A0"/>
        </w:tblPrEx>
        <w:trPr>
          <w:cantSplit/>
          <w:jc w:val="center"/>
        </w:trPr>
        <w:tc>
          <w:tcPr>
            <w:tcW w:w="4219" w:type="dxa"/>
          </w:tcPr>
          <w:p w:rsidR="007E2BC7" w14:paraId="7FC505F4" w14:textId="77777777">
            <w:pPr>
              <w:rPr>
                <w:szCs w:val="22"/>
              </w:rPr>
            </w:pPr>
            <w:r>
              <w:rPr>
                <w:szCs w:val="22"/>
                <w:lang w:eastAsia="en-GB"/>
              </w:rPr>
              <w:t>Weeks 1 to 9</w:t>
            </w:r>
          </w:p>
        </w:tc>
        <w:tc>
          <w:tcPr>
            <w:tcW w:w="5068" w:type="dxa"/>
          </w:tcPr>
          <w:p w:rsidR="007E2BC7" w14:paraId="4482540E" w14:textId="77777777">
            <w:pPr>
              <w:rPr>
                <w:szCs w:val="22"/>
              </w:rPr>
            </w:pPr>
            <w:r>
              <w:rPr>
                <w:szCs w:val="22"/>
                <w:lang w:eastAsia="en-GB"/>
              </w:rPr>
              <w:t>weekly (total of 9 doses)</w:t>
            </w:r>
          </w:p>
        </w:tc>
      </w:tr>
      <w:tr w14:paraId="2AD59C5A" w14:textId="77777777">
        <w:tblPrEx>
          <w:tblW w:w="9072" w:type="dxa"/>
          <w:jc w:val="center"/>
          <w:tblLook w:val="04A0"/>
        </w:tblPrEx>
        <w:trPr>
          <w:cantSplit/>
          <w:jc w:val="center"/>
        </w:trPr>
        <w:tc>
          <w:tcPr>
            <w:tcW w:w="4219" w:type="dxa"/>
          </w:tcPr>
          <w:p w:rsidR="007E2BC7" w14:paraId="57FE9B75" w14:textId="77777777">
            <w:pPr>
              <w:rPr>
                <w:szCs w:val="22"/>
              </w:rPr>
            </w:pPr>
            <w:r>
              <w:rPr>
                <w:szCs w:val="22"/>
                <w:lang w:eastAsia="en-GB"/>
              </w:rPr>
              <w:t>Weeks 10 to 24</w:t>
            </w:r>
            <w:r>
              <w:rPr>
                <w:szCs w:val="22"/>
                <w:vertAlign w:val="superscript"/>
                <w:lang w:eastAsia="en-GB"/>
              </w:rPr>
              <w:t>a</w:t>
            </w:r>
          </w:p>
        </w:tc>
        <w:tc>
          <w:tcPr>
            <w:tcW w:w="5068" w:type="dxa"/>
          </w:tcPr>
          <w:p w:rsidR="007E2BC7" w14:paraId="5D9EA966" w14:textId="77777777">
            <w:pPr>
              <w:rPr>
                <w:szCs w:val="22"/>
              </w:rPr>
            </w:pPr>
            <w:r>
              <w:rPr>
                <w:szCs w:val="22"/>
                <w:lang w:eastAsia="en-GB"/>
              </w:rPr>
              <w:t>every three weeks (total of 5 doses)</w:t>
            </w:r>
          </w:p>
        </w:tc>
      </w:tr>
      <w:tr w14:paraId="40A4526E" w14:textId="77777777">
        <w:tblPrEx>
          <w:tblW w:w="9072" w:type="dxa"/>
          <w:jc w:val="center"/>
          <w:tblLook w:val="04A0"/>
        </w:tblPrEx>
        <w:trPr>
          <w:cantSplit/>
          <w:jc w:val="center"/>
        </w:trPr>
        <w:tc>
          <w:tcPr>
            <w:tcW w:w="4219" w:type="dxa"/>
            <w:tcBorders>
              <w:bottom w:val="single" w:sz="4" w:space="0" w:color="auto"/>
            </w:tcBorders>
          </w:tcPr>
          <w:p w:rsidR="007E2BC7" w14:paraId="5FDBEA8E" w14:textId="77777777">
            <w:pPr>
              <w:rPr>
                <w:szCs w:val="22"/>
              </w:rPr>
            </w:pPr>
            <w:r>
              <w:rPr>
                <w:szCs w:val="22"/>
                <w:lang w:eastAsia="en-GB"/>
              </w:rPr>
              <w:t>Week 25 onwards until disease progression</w:t>
            </w:r>
            <w:r>
              <w:rPr>
                <w:szCs w:val="22"/>
                <w:vertAlign w:val="superscript"/>
                <w:lang w:eastAsia="en-GB"/>
              </w:rPr>
              <w:t>b</w:t>
            </w:r>
          </w:p>
        </w:tc>
        <w:tc>
          <w:tcPr>
            <w:tcW w:w="5068" w:type="dxa"/>
            <w:tcBorders>
              <w:bottom w:val="single" w:sz="4" w:space="0" w:color="auto"/>
            </w:tcBorders>
          </w:tcPr>
          <w:p w:rsidR="007E2BC7" w14:paraId="12C23CD4" w14:textId="77777777">
            <w:pPr>
              <w:rPr>
                <w:szCs w:val="22"/>
              </w:rPr>
            </w:pPr>
            <w:r>
              <w:rPr>
                <w:szCs w:val="22"/>
                <w:lang w:eastAsia="en-GB"/>
              </w:rPr>
              <w:t>every four weeks</w:t>
            </w:r>
          </w:p>
        </w:tc>
      </w:tr>
      <w:tr w14:paraId="303147DA" w14:textId="77777777">
        <w:tblPrEx>
          <w:tblW w:w="9072" w:type="dxa"/>
          <w:jc w:val="center"/>
          <w:tblLook w:val="04A0"/>
        </w:tblPrEx>
        <w:trPr>
          <w:cantSplit/>
          <w:jc w:val="center"/>
        </w:trPr>
        <w:tc>
          <w:tcPr>
            <w:tcW w:w="9287" w:type="dxa"/>
            <w:gridSpan w:val="2"/>
            <w:tcBorders>
              <w:left w:val="nil"/>
              <w:bottom w:val="nil"/>
              <w:right w:val="nil"/>
            </w:tcBorders>
          </w:tcPr>
          <w:p w:rsidR="007E2BC7" w14:paraId="7AFB0F63" w14:textId="4C0A08E1">
            <w:pPr>
              <w:tabs>
                <w:tab w:val="left" w:pos="284"/>
                <w:tab w:val="clear" w:pos="567"/>
              </w:tabs>
              <w:ind w:left="284" w:hanging="284"/>
              <w:rPr>
                <w:sz w:val="18"/>
                <w:szCs w:val="18"/>
                <w:lang w:eastAsia="en-GB"/>
              </w:rPr>
            </w:pPr>
            <w:r>
              <w:rPr>
                <w:szCs w:val="22"/>
                <w:vertAlign w:val="superscript"/>
                <w:lang w:eastAsia="en-GB"/>
              </w:rPr>
              <w:t>a</w:t>
            </w:r>
            <w:r>
              <w:rPr>
                <w:szCs w:val="22"/>
                <w:lang w:eastAsia="en-GB"/>
              </w:rPr>
              <w:tab/>
            </w:r>
            <w:r>
              <w:rPr>
                <w:sz w:val="18"/>
                <w:szCs w:val="18"/>
                <w:lang w:eastAsia="en-GB"/>
              </w:rPr>
              <w:t>First dose of the every-3-week dosing schedule is given at week 10</w:t>
            </w:r>
            <w:r w:rsidR="00AA6238">
              <w:rPr>
                <w:sz w:val="18"/>
                <w:szCs w:val="18"/>
                <w:lang w:eastAsia="en-GB"/>
              </w:rPr>
              <w:t>.</w:t>
            </w:r>
          </w:p>
          <w:p w:rsidR="007E2BC7" w14:paraId="0C8A4978" w14:textId="4E66A688">
            <w:pPr>
              <w:tabs>
                <w:tab w:val="left" w:pos="284"/>
                <w:tab w:val="clear" w:pos="567"/>
              </w:tabs>
              <w:ind w:left="284" w:hanging="284"/>
              <w:rPr>
                <w:szCs w:val="22"/>
              </w:rPr>
            </w:pPr>
            <w:r>
              <w:rPr>
                <w:szCs w:val="22"/>
                <w:vertAlign w:val="superscript"/>
                <w:lang w:eastAsia="en-GB"/>
              </w:rPr>
              <w:t>b</w:t>
            </w:r>
            <w:r>
              <w:rPr>
                <w:szCs w:val="22"/>
                <w:vertAlign w:val="superscript"/>
                <w:lang w:eastAsia="en-GB"/>
              </w:rPr>
              <w:tab/>
            </w:r>
            <w:r>
              <w:rPr>
                <w:sz w:val="18"/>
                <w:szCs w:val="18"/>
                <w:lang w:eastAsia="en-GB"/>
              </w:rPr>
              <w:t>First dose of the every-4-week dosing schedule is given at week 25</w:t>
            </w:r>
            <w:r w:rsidR="00AA6238">
              <w:rPr>
                <w:sz w:val="18"/>
                <w:szCs w:val="18"/>
                <w:lang w:eastAsia="en-GB"/>
              </w:rPr>
              <w:t>.</w:t>
            </w:r>
          </w:p>
        </w:tc>
      </w:tr>
    </w:tbl>
    <w:p w:rsidR="007E2BC7" w14:paraId="6D9E4611" w14:textId="77777777"/>
    <w:p w:rsidR="00F84CEC" w:rsidP="00F84CEC" w14:paraId="3CE90845" w14:textId="59C4CBD3">
      <w:pPr>
        <w:rPr>
          <w:color w:val="242021"/>
          <w:spacing w:val="-1"/>
        </w:rPr>
      </w:pPr>
      <w:r w:rsidRPr="00774BD1">
        <w:rPr>
          <w:color w:val="242021"/>
          <w:spacing w:val="-1"/>
        </w:rPr>
        <w:t>Dexamethasone</w:t>
      </w:r>
      <w:r w:rsidRPr="00774BD1">
        <w:rPr>
          <w:color w:val="242021"/>
          <w:spacing w:val="9"/>
        </w:rPr>
        <w:t xml:space="preserve"> </w:t>
      </w:r>
      <w:r w:rsidRPr="00774BD1">
        <w:rPr>
          <w:color w:val="242021"/>
        </w:rPr>
        <w:t>should</w:t>
      </w:r>
      <w:r w:rsidRPr="00774BD1">
        <w:rPr>
          <w:color w:val="242021"/>
          <w:spacing w:val="9"/>
        </w:rPr>
        <w:t xml:space="preserve"> </w:t>
      </w:r>
      <w:r w:rsidRPr="00774BD1">
        <w:rPr>
          <w:color w:val="242021"/>
        </w:rPr>
        <w:t>be</w:t>
      </w:r>
      <w:r w:rsidRPr="00774BD1">
        <w:rPr>
          <w:color w:val="242021"/>
          <w:spacing w:val="10"/>
        </w:rPr>
        <w:t xml:space="preserve"> </w:t>
      </w:r>
      <w:r w:rsidRPr="00774BD1">
        <w:rPr>
          <w:color w:val="242021"/>
        </w:rPr>
        <w:t>administered</w:t>
      </w:r>
      <w:r w:rsidRPr="00774BD1">
        <w:rPr>
          <w:color w:val="242021"/>
          <w:spacing w:val="9"/>
        </w:rPr>
        <w:t xml:space="preserve"> </w:t>
      </w:r>
      <w:r w:rsidRPr="00774BD1">
        <w:rPr>
          <w:color w:val="242021"/>
          <w:spacing w:val="-1"/>
        </w:rPr>
        <w:t>at</w:t>
      </w:r>
      <w:r w:rsidRPr="00774BD1">
        <w:rPr>
          <w:color w:val="242021"/>
          <w:spacing w:val="9"/>
        </w:rPr>
        <w:t xml:space="preserve"> </w:t>
      </w:r>
      <w:r w:rsidRPr="00774BD1">
        <w:rPr>
          <w:color w:val="242021"/>
        </w:rPr>
        <w:t>20</w:t>
      </w:r>
      <w:r w:rsidRPr="00774BD1">
        <w:rPr>
          <w:color w:val="242021"/>
          <w:spacing w:val="9"/>
        </w:rPr>
        <w:t> </w:t>
      </w:r>
      <w:r w:rsidRPr="00774BD1">
        <w:rPr>
          <w:color w:val="242021"/>
          <w:spacing w:val="1"/>
        </w:rPr>
        <w:t>mg</w:t>
      </w:r>
      <w:r w:rsidRPr="00774BD1">
        <w:rPr>
          <w:color w:val="242021"/>
          <w:spacing w:val="7"/>
        </w:rPr>
        <w:t xml:space="preserve"> </w:t>
      </w:r>
      <w:r w:rsidRPr="00774BD1">
        <w:rPr>
          <w:color w:val="242021"/>
        </w:rPr>
        <w:t>on</w:t>
      </w:r>
      <w:r w:rsidRPr="00774BD1">
        <w:rPr>
          <w:color w:val="242021"/>
          <w:spacing w:val="12"/>
        </w:rPr>
        <w:t xml:space="preserve"> </w:t>
      </w:r>
      <w:r w:rsidR="00AD264E">
        <w:rPr>
          <w:color w:val="242021"/>
          <w:spacing w:val="-1"/>
        </w:rPr>
        <w:t>d</w:t>
      </w:r>
      <w:r w:rsidRPr="00774BD1">
        <w:rPr>
          <w:color w:val="242021"/>
          <w:spacing w:val="-1"/>
        </w:rPr>
        <w:t>ays</w:t>
      </w:r>
      <w:r w:rsidRPr="00774BD1">
        <w:rPr>
          <w:color w:val="242021"/>
        </w:rPr>
        <w:t> 1,</w:t>
      </w:r>
      <w:r w:rsidRPr="00774BD1">
        <w:rPr>
          <w:color w:val="242021"/>
          <w:spacing w:val="10"/>
        </w:rPr>
        <w:t xml:space="preserve"> </w:t>
      </w:r>
      <w:r w:rsidRPr="00774BD1">
        <w:rPr>
          <w:color w:val="242021"/>
        </w:rPr>
        <w:t>2,</w:t>
      </w:r>
      <w:r w:rsidRPr="00774BD1">
        <w:rPr>
          <w:color w:val="242021"/>
          <w:spacing w:val="9"/>
        </w:rPr>
        <w:t xml:space="preserve"> </w:t>
      </w:r>
      <w:r w:rsidRPr="00774BD1">
        <w:rPr>
          <w:color w:val="242021"/>
        </w:rPr>
        <w:t>4,</w:t>
      </w:r>
      <w:r w:rsidRPr="00774BD1">
        <w:rPr>
          <w:color w:val="242021"/>
          <w:spacing w:val="10"/>
        </w:rPr>
        <w:t xml:space="preserve"> </w:t>
      </w:r>
      <w:r w:rsidRPr="00774BD1">
        <w:rPr>
          <w:color w:val="242021"/>
        </w:rPr>
        <w:t>5,</w:t>
      </w:r>
      <w:r w:rsidRPr="00774BD1">
        <w:rPr>
          <w:color w:val="242021"/>
          <w:spacing w:val="9"/>
        </w:rPr>
        <w:t xml:space="preserve"> </w:t>
      </w:r>
      <w:r w:rsidRPr="00774BD1">
        <w:rPr>
          <w:color w:val="242021"/>
        </w:rPr>
        <w:t>8,</w:t>
      </w:r>
      <w:r w:rsidRPr="00774BD1">
        <w:rPr>
          <w:color w:val="242021"/>
          <w:spacing w:val="9"/>
        </w:rPr>
        <w:t xml:space="preserve"> </w:t>
      </w:r>
      <w:r w:rsidRPr="00774BD1">
        <w:rPr>
          <w:color w:val="242021"/>
        </w:rPr>
        <w:t>9,</w:t>
      </w:r>
      <w:r w:rsidRPr="00774BD1">
        <w:rPr>
          <w:color w:val="242021"/>
          <w:spacing w:val="10"/>
        </w:rPr>
        <w:t xml:space="preserve"> </w:t>
      </w:r>
      <w:r w:rsidRPr="00774BD1">
        <w:rPr>
          <w:color w:val="242021"/>
        </w:rPr>
        <w:t>11</w:t>
      </w:r>
      <w:r w:rsidRPr="00774BD1">
        <w:rPr>
          <w:color w:val="242021"/>
          <w:spacing w:val="12"/>
        </w:rPr>
        <w:t xml:space="preserve"> </w:t>
      </w:r>
      <w:r w:rsidRPr="00774BD1">
        <w:rPr>
          <w:color w:val="242021"/>
          <w:spacing w:val="-1"/>
        </w:rPr>
        <w:t>and</w:t>
      </w:r>
      <w:r w:rsidRPr="00774BD1">
        <w:rPr>
          <w:color w:val="242021"/>
          <w:spacing w:val="9"/>
        </w:rPr>
        <w:t xml:space="preserve"> </w:t>
      </w:r>
      <w:r w:rsidRPr="00774BD1">
        <w:rPr>
          <w:color w:val="242021"/>
        </w:rPr>
        <w:t>12</w:t>
      </w:r>
      <w:r w:rsidRPr="00774BD1">
        <w:rPr>
          <w:color w:val="242021"/>
          <w:spacing w:val="9"/>
        </w:rPr>
        <w:t xml:space="preserve"> </w:t>
      </w:r>
      <w:r w:rsidRPr="00774BD1">
        <w:rPr>
          <w:color w:val="242021"/>
          <w:spacing w:val="2"/>
        </w:rPr>
        <w:t>of</w:t>
      </w:r>
      <w:r w:rsidRPr="00774BD1">
        <w:rPr>
          <w:color w:val="242021"/>
          <w:spacing w:val="32"/>
        </w:rPr>
        <w:t xml:space="preserve"> </w:t>
      </w:r>
      <w:r w:rsidRPr="00774BD1">
        <w:rPr>
          <w:color w:val="242021"/>
          <w:spacing w:val="-1"/>
        </w:rPr>
        <w:t>the</w:t>
      </w:r>
      <w:r w:rsidRPr="00774BD1">
        <w:rPr>
          <w:color w:val="242021"/>
          <w:spacing w:val="18"/>
        </w:rPr>
        <w:t xml:space="preserve"> </w:t>
      </w:r>
      <w:r w:rsidRPr="00774BD1">
        <w:rPr>
          <w:color w:val="242021"/>
          <w:spacing w:val="-1"/>
        </w:rPr>
        <w:t>first</w:t>
      </w:r>
      <w:r w:rsidRPr="00774BD1">
        <w:rPr>
          <w:color w:val="242021"/>
          <w:spacing w:val="19"/>
        </w:rPr>
        <w:t xml:space="preserve"> </w:t>
      </w:r>
      <w:r w:rsidRPr="00774BD1">
        <w:rPr>
          <w:color w:val="242021"/>
        </w:rPr>
        <w:t>8</w:t>
      </w:r>
      <w:r w:rsidRPr="00774BD1">
        <w:rPr>
          <w:color w:val="242021"/>
          <w:spacing w:val="19"/>
        </w:rPr>
        <w:t xml:space="preserve"> </w:t>
      </w:r>
      <w:r w:rsidRPr="00774BD1">
        <w:rPr>
          <w:color w:val="242021"/>
          <w:spacing w:val="-2"/>
        </w:rPr>
        <w:t>bortezomib</w:t>
      </w:r>
      <w:r w:rsidRPr="00774BD1">
        <w:rPr>
          <w:color w:val="242021"/>
          <w:spacing w:val="19"/>
        </w:rPr>
        <w:t xml:space="preserve"> </w:t>
      </w:r>
      <w:r w:rsidRPr="00774BD1">
        <w:rPr>
          <w:color w:val="242021"/>
        </w:rPr>
        <w:t>treatment</w:t>
      </w:r>
      <w:r w:rsidRPr="00774BD1">
        <w:rPr>
          <w:color w:val="242021"/>
          <w:spacing w:val="19"/>
        </w:rPr>
        <w:t xml:space="preserve"> </w:t>
      </w:r>
      <w:r w:rsidRPr="00774BD1">
        <w:rPr>
          <w:color w:val="242021"/>
          <w:spacing w:val="-1"/>
        </w:rPr>
        <w:t>cycles or a reduced dose of 20 mg/week for patients</w:t>
      </w:r>
      <w:r w:rsidRPr="00774BD1">
        <w:rPr>
          <w:szCs w:val="22"/>
        </w:rPr>
        <w:t xml:space="preserve"> </w:t>
      </w:r>
      <w:r w:rsidRPr="00774BD1">
        <w:rPr>
          <w:bCs/>
          <w:szCs w:val="22"/>
        </w:rPr>
        <w:t>&gt;</w:t>
      </w:r>
      <w:r>
        <w:rPr>
          <w:color w:val="242021"/>
        </w:rPr>
        <w:t xml:space="preserve"> </w:t>
      </w:r>
      <w:r w:rsidRPr="00774BD1">
        <w:rPr>
          <w:color w:val="242021"/>
        </w:rPr>
        <w:t>75</w:t>
      </w:r>
      <w:r w:rsidRPr="00774BD1">
        <w:rPr>
          <w:color w:val="242021"/>
          <w:spacing w:val="2"/>
        </w:rPr>
        <w:t> </w:t>
      </w:r>
      <w:r w:rsidRPr="00774BD1">
        <w:rPr>
          <w:color w:val="242021"/>
          <w:spacing w:val="-2"/>
        </w:rPr>
        <w:t>years,</w:t>
      </w:r>
      <w:r w:rsidRPr="00774BD1">
        <w:rPr>
          <w:color w:val="242021"/>
          <w:spacing w:val="28"/>
        </w:rPr>
        <w:t xml:space="preserve"> </w:t>
      </w:r>
      <w:r w:rsidRPr="00774BD1">
        <w:rPr>
          <w:color w:val="242021"/>
        </w:rPr>
        <w:t>underweight</w:t>
      </w:r>
      <w:r w:rsidRPr="00774BD1">
        <w:rPr>
          <w:color w:val="242021"/>
          <w:spacing w:val="29"/>
        </w:rPr>
        <w:t xml:space="preserve"> </w:t>
      </w:r>
      <w:r w:rsidRPr="00774BD1">
        <w:rPr>
          <w:color w:val="242021"/>
        </w:rPr>
        <w:t>(BMI</w:t>
      </w:r>
      <w:r w:rsidR="000F449F">
        <w:rPr>
          <w:color w:val="242021"/>
          <w:spacing w:val="-1"/>
        </w:rPr>
        <w:t xml:space="preserve"> </w:t>
      </w:r>
      <w:r w:rsidRPr="00774BD1">
        <w:rPr>
          <w:color w:val="242021"/>
          <w:spacing w:val="-1"/>
        </w:rPr>
        <w:t>&lt;18.5),</w:t>
      </w:r>
      <w:r w:rsidRPr="00774BD1">
        <w:rPr>
          <w:color w:val="242021"/>
          <w:spacing w:val="28"/>
        </w:rPr>
        <w:t xml:space="preserve"> </w:t>
      </w:r>
      <w:r w:rsidRPr="00774BD1">
        <w:rPr>
          <w:color w:val="242021"/>
        </w:rPr>
        <w:t xml:space="preserve">poorly </w:t>
      </w:r>
      <w:r w:rsidRPr="00774BD1">
        <w:rPr>
          <w:color w:val="242021"/>
          <w:spacing w:val="-1"/>
        </w:rPr>
        <w:t>controlled</w:t>
      </w:r>
      <w:r w:rsidRPr="00774BD1">
        <w:rPr>
          <w:color w:val="242021"/>
        </w:rPr>
        <w:t xml:space="preserve"> diabetes mellitus or prior intolerance to steroid </w:t>
      </w:r>
      <w:r w:rsidRPr="00774BD1">
        <w:rPr>
          <w:color w:val="242021"/>
          <w:spacing w:val="-1"/>
        </w:rPr>
        <w:t>therapy.</w:t>
      </w:r>
    </w:p>
    <w:p w:rsidR="00F84CEC" w14:paraId="6666459A" w14:textId="77777777">
      <w:pPr>
        <w:rPr>
          <w:szCs w:val="22"/>
        </w:rPr>
      </w:pPr>
    </w:p>
    <w:p w:rsidR="007E2BC7" w14:paraId="6BF2EC24" w14:textId="4C728777">
      <w:pPr>
        <w:rPr>
          <w:szCs w:val="22"/>
        </w:rPr>
      </w:pPr>
      <w:r>
        <w:rPr>
          <w:szCs w:val="22"/>
        </w:rPr>
        <w:t xml:space="preserve">For dose and schedule of </w:t>
      </w:r>
      <w:r>
        <w:t xml:space="preserve">medicinal products administered </w:t>
      </w:r>
      <w:r>
        <w:rPr>
          <w:szCs w:val="22"/>
        </w:rPr>
        <w:t xml:space="preserve">with </w:t>
      </w:r>
      <w:r w:rsidR="00E65908">
        <w:rPr>
          <w:szCs w:val="22"/>
        </w:rPr>
        <w:t>DARZALEX</w:t>
      </w:r>
      <w:r>
        <w:rPr>
          <w:szCs w:val="22"/>
        </w:rPr>
        <w:t xml:space="preserve">, see </w:t>
      </w:r>
      <w:r>
        <w:t>section 5.1</w:t>
      </w:r>
      <w:r>
        <w:rPr>
          <w:szCs w:val="22"/>
        </w:rPr>
        <w:t xml:space="preserve"> and the corresponding </w:t>
      </w:r>
      <w:r w:rsidRPr="0053133F" w:rsidR="00EC2EA6">
        <w:rPr>
          <w:szCs w:val="22"/>
        </w:rPr>
        <w:t>prescribing information (PI)</w:t>
      </w:r>
      <w:r w:rsidR="00EC2EA6">
        <w:rPr>
          <w:szCs w:val="22"/>
        </w:rPr>
        <w:t>.</w:t>
      </w:r>
    </w:p>
    <w:p w:rsidR="007E2BC7" w14:paraId="615A058E" w14:textId="77777777">
      <w:pPr>
        <w:rPr>
          <w:szCs w:val="22"/>
        </w:rPr>
      </w:pPr>
    </w:p>
    <w:p w:rsidR="007E2BC7" w14:paraId="559408C1" w14:textId="77777777">
      <w:pPr>
        <w:keepNext/>
        <w:outlineLvl w:val="3"/>
        <w:rPr>
          <w:i/>
        </w:rPr>
      </w:pPr>
      <w:r>
        <w:rPr>
          <w:i/>
        </w:rPr>
        <w:t>Infusion rates</w:t>
      </w:r>
    </w:p>
    <w:p w:rsidR="007E2BC7" w14:paraId="2B20AABB" w14:textId="60C3B5B9">
      <w:pPr>
        <w:rPr>
          <w:szCs w:val="22"/>
        </w:rPr>
      </w:pPr>
      <w:r>
        <w:rPr>
          <w:szCs w:val="22"/>
        </w:rPr>
        <w:t xml:space="preserve">Following dilution the </w:t>
      </w:r>
      <w:r w:rsidR="00E65908">
        <w:rPr>
          <w:szCs w:val="22"/>
        </w:rPr>
        <w:t>DARZALEX</w:t>
      </w:r>
      <w:r>
        <w:rPr>
          <w:szCs w:val="22"/>
        </w:rPr>
        <w:t xml:space="preserve"> infusion should be intravenously administered at the initial infusion rate presented in table 5 below. Incremental escalation of the infusion rate should be considered only in the absence of infusion reactions.</w:t>
      </w:r>
    </w:p>
    <w:p w:rsidR="007E2BC7" w14:paraId="1F42A0E0" w14:textId="63023DA2">
      <w:pPr>
        <w:rPr>
          <w:szCs w:val="22"/>
        </w:rPr>
      </w:pPr>
      <w:r>
        <w:rPr>
          <w:szCs w:val="22"/>
        </w:rPr>
        <w:t>To facilitate administration, the first prescribed 16 mg/kg dose at week 1 may be split over two consecutive days i.e. 8 mg/kg on day 1 and day 2 respectively, see table 5 below.</w:t>
      </w:r>
    </w:p>
    <w:p w:rsidR="007E2BC7" w14:paraId="5A227C27" w14:textId="77777777">
      <w:pPr>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16"/>
        <w:gridCol w:w="8"/>
        <w:gridCol w:w="1120"/>
        <w:gridCol w:w="1266"/>
        <w:gridCol w:w="2204"/>
        <w:gridCol w:w="1558"/>
      </w:tblGrid>
      <w:tr w14:paraId="777B5208" w14:textId="77777777">
        <w:tblPrEx>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9072" w:type="dxa"/>
            <w:gridSpan w:val="6"/>
            <w:tcBorders>
              <w:top w:val="nil"/>
              <w:left w:val="nil"/>
              <w:bottom w:val="single" w:sz="4" w:space="0" w:color="auto"/>
              <w:right w:val="nil"/>
            </w:tcBorders>
          </w:tcPr>
          <w:p w:rsidR="007E2BC7" w14:paraId="7801C8A5" w14:textId="4F1F5DB6">
            <w:pPr>
              <w:keepNext/>
              <w:rPr>
                <w:b/>
                <w:szCs w:val="22"/>
              </w:rPr>
            </w:pPr>
            <w:r>
              <w:rPr>
                <w:b/>
              </w:rPr>
              <w:t>Table 5:</w:t>
            </w:r>
            <w:r>
              <w:rPr>
                <w:b/>
              </w:rPr>
              <w:tab/>
              <w:t xml:space="preserve">Infusion rates for </w:t>
            </w:r>
            <w:r w:rsidR="00E65908">
              <w:rPr>
                <w:b/>
              </w:rPr>
              <w:t>DARZALEX</w:t>
            </w:r>
            <w:r>
              <w:rPr>
                <w:b/>
              </w:rPr>
              <w:t xml:space="preserve"> (16 mg/kg) administration</w:t>
            </w:r>
          </w:p>
        </w:tc>
      </w:tr>
      <w:tr w14:paraId="380D03F7" w14:textId="77777777">
        <w:tblPrEx>
          <w:tblW w:w="9072" w:type="dxa"/>
          <w:jc w:val="center"/>
          <w:tblLook w:val="04A0"/>
        </w:tblPrEx>
        <w:trPr>
          <w:cantSplit/>
          <w:jc w:val="center"/>
        </w:trPr>
        <w:tc>
          <w:tcPr>
            <w:tcW w:w="2924" w:type="dxa"/>
            <w:gridSpan w:val="2"/>
            <w:tcBorders>
              <w:top w:val="single" w:sz="4" w:space="0" w:color="auto"/>
            </w:tcBorders>
          </w:tcPr>
          <w:p w:rsidR="007E2BC7" w14:paraId="5106F2EB" w14:textId="77777777">
            <w:pPr>
              <w:keepNext/>
              <w:rPr>
                <w:sz w:val="20"/>
              </w:rPr>
            </w:pPr>
          </w:p>
        </w:tc>
        <w:tc>
          <w:tcPr>
            <w:tcW w:w="1120" w:type="dxa"/>
            <w:tcBorders>
              <w:top w:val="single" w:sz="4" w:space="0" w:color="auto"/>
            </w:tcBorders>
          </w:tcPr>
          <w:p w:rsidR="007E2BC7" w14:paraId="12A1FE83" w14:textId="77777777">
            <w:pPr>
              <w:keepNext/>
              <w:jc w:val="center"/>
              <w:rPr>
                <w:b/>
                <w:sz w:val="20"/>
              </w:rPr>
            </w:pPr>
            <w:r>
              <w:rPr>
                <w:b/>
                <w:sz w:val="20"/>
              </w:rPr>
              <w:t>Dilution volume</w:t>
            </w:r>
          </w:p>
        </w:tc>
        <w:tc>
          <w:tcPr>
            <w:tcW w:w="1266" w:type="dxa"/>
            <w:tcBorders>
              <w:top w:val="single" w:sz="4" w:space="0" w:color="auto"/>
            </w:tcBorders>
          </w:tcPr>
          <w:p w:rsidR="007E2BC7" w14:paraId="6BAD9299" w14:textId="77777777">
            <w:pPr>
              <w:keepNext/>
              <w:jc w:val="center"/>
              <w:rPr>
                <w:b/>
                <w:sz w:val="20"/>
              </w:rPr>
            </w:pPr>
            <w:r>
              <w:rPr>
                <w:b/>
                <w:sz w:val="20"/>
              </w:rPr>
              <w:t>Initial rate (first hour)</w:t>
            </w:r>
          </w:p>
        </w:tc>
        <w:tc>
          <w:tcPr>
            <w:tcW w:w="2204" w:type="dxa"/>
            <w:tcBorders>
              <w:top w:val="single" w:sz="4" w:space="0" w:color="auto"/>
            </w:tcBorders>
          </w:tcPr>
          <w:p w:rsidR="007E2BC7" w14:paraId="7CDDDB75" w14:textId="77777777">
            <w:pPr>
              <w:keepNext/>
              <w:jc w:val="center"/>
              <w:rPr>
                <w:b/>
                <w:sz w:val="20"/>
              </w:rPr>
            </w:pPr>
            <w:r>
              <w:rPr>
                <w:b/>
                <w:sz w:val="20"/>
              </w:rPr>
              <w:t>Rate increment</w:t>
            </w:r>
            <w:r>
              <w:rPr>
                <w:b/>
                <w:sz w:val="20"/>
                <w:vertAlign w:val="superscript"/>
              </w:rPr>
              <w:t>a</w:t>
            </w:r>
          </w:p>
        </w:tc>
        <w:tc>
          <w:tcPr>
            <w:tcW w:w="1558" w:type="dxa"/>
            <w:tcBorders>
              <w:top w:val="single" w:sz="4" w:space="0" w:color="auto"/>
            </w:tcBorders>
          </w:tcPr>
          <w:p w:rsidR="007E2BC7" w14:paraId="66391CA6" w14:textId="77777777">
            <w:pPr>
              <w:keepNext/>
              <w:jc w:val="center"/>
              <w:rPr>
                <w:b/>
                <w:sz w:val="20"/>
              </w:rPr>
            </w:pPr>
            <w:r>
              <w:rPr>
                <w:b/>
                <w:sz w:val="20"/>
              </w:rPr>
              <w:t>Maximum rate</w:t>
            </w:r>
          </w:p>
        </w:tc>
      </w:tr>
      <w:tr w14:paraId="3DF23169" w14:textId="77777777">
        <w:tblPrEx>
          <w:tblW w:w="9072" w:type="dxa"/>
          <w:jc w:val="center"/>
          <w:tblLook w:val="04A0"/>
        </w:tblPrEx>
        <w:trPr>
          <w:cantSplit/>
          <w:jc w:val="center"/>
        </w:trPr>
        <w:tc>
          <w:tcPr>
            <w:tcW w:w="9072" w:type="dxa"/>
            <w:gridSpan w:val="6"/>
          </w:tcPr>
          <w:p w:rsidR="007E2BC7" w14:paraId="665DF7A4" w14:textId="77777777">
            <w:pPr>
              <w:keepNext/>
              <w:rPr>
                <w:b/>
                <w:sz w:val="20"/>
              </w:rPr>
            </w:pPr>
            <w:r>
              <w:rPr>
                <w:b/>
                <w:sz w:val="20"/>
              </w:rPr>
              <w:t>Week 1 Infusion</w:t>
            </w:r>
          </w:p>
        </w:tc>
      </w:tr>
      <w:tr w14:paraId="1B723606" w14:textId="77777777">
        <w:tblPrEx>
          <w:tblW w:w="9072" w:type="dxa"/>
          <w:jc w:val="center"/>
          <w:tblLook w:val="04A0"/>
        </w:tblPrEx>
        <w:trPr>
          <w:cantSplit/>
          <w:jc w:val="center"/>
        </w:trPr>
        <w:tc>
          <w:tcPr>
            <w:tcW w:w="2924" w:type="dxa"/>
            <w:gridSpan w:val="2"/>
          </w:tcPr>
          <w:p w:rsidR="007E2BC7" w14:paraId="0F5E5307" w14:textId="77777777">
            <w:pPr>
              <w:rPr>
                <w:i/>
                <w:sz w:val="20"/>
              </w:rPr>
            </w:pPr>
            <w:r>
              <w:rPr>
                <w:i/>
                <w:sz w:val="20"/>
              </w:rPr>
              <w:t>Option 1 (Single dose infusion)</w:t>
            </w:r>
          </w:p>
        </w:tc>
        <w:tc>
          <w:tcPr>
            <w:tcW w:w="6148" w:type="dxa"/>
            <w:gridSpan w:val="4"/>
          </w:tcPr>
          <w:p w:rsidR="007E2BC7" w14:paraId="30A3EAC4" w14:textId="77777777">
            <w:pPr>
              <w:jc w:val="center"/>
              <w:rPr>
                <w:sz w:val="20"/>
              </w:rPr>
            </w:pPr>
          </w:p>
        </w:tc>
      </w:tr>
      <w:tr w14:paraId="643C71F8" w14:textId="77777777">
        <w:tblPrEx>
          <w:tblW w:w="9072" w:type="dxa"/>
          <w:jc w:val="center"/>
          <w:tblLook w:val="04A0"/>
        </w:tblPrEx>
        <w:trPr>
          <w:cantSplit/>
          <w:jc w:val="center"/>
        </w:trPr>
        <w:tc>
          <w:tcPr>
            <w:tcW w:w="2924" w:type="dxa"/>
            <w:gridSpan w:val="2"/>
          </w:tcPr>
          <w:p w:rsidR="007E2BC7" w14:paraId="078F4F56" w14:textId="6DADCDC6">
            <w:pPr>
              <w:ind w:left="567"/>
              <w:rPr>
                <w:b/>
                <w:sz w:val="20"/>
              </w:rPr>
            </w:pPr>
            <w:r>
              <w:rPr>
                <w:sz w:val="20"/>
              </w:rPr>
              <w:t xml:space="preserve">Week 1 day 1 (16 mg/kg) </w:t>
            </w:r>
          </w:p>
        </w:tc>
        <w:tc>
          <w:tcPr>
            <w:tcW w:w="1120" w:type="dxa"/>
          </w:tcPr>
          <w:p w:rsidR="007E2BC7" w14:paraId="1FE350D7" w14:textId="11E30435">
            <w:pPr>
              <w:jc w:val="center"/>
              <w:rPr>
                <w:sz w:val="20"/>
              </w:rPr>
            </w:pPr>
            <w:r>
              <w:rPr>
                <w:sz w:val="20"/>
              </w:rPr>
              <w:t>1000 mL</w:t>
            </w:r>
          </w:p>
        </w:tc>
        <w:tc>
          <w:tcPr>
            <w:tcW w:w="1266" w:type="dxa"/>
          </w:tcPr>
          <w:p w:rsidR="007E2BC7" w14:paraId="6EA0FD3A" w14:textId="77777777">
            <w:pPr>
              <w:jc w:val="center"/>
              <w:rPr>
                <w:sz w:val="20"/>
              </w:rPr>
            </w:pPr>
            <w:r>
              <w:rPr>
                <w:sz w:val="20"/>
              </w:rPr>
              <w:t>50 mL/hour</w:t>
            </w:r>
          </w:p>
        </w:tc>
        <w:tc>
          <w:tcPr>
            <w:tcW w:w="2204" w:type="dxa"/>
          </w:tcPr>
          <w:p w:rsidR="007E2BC7" w14:paraId="311F91F5" w14:textId="77777777">
            <w:pPr>
              <w:jc w:val="center"/>
              <w:rPr>
                <w:sz w:val="20"/>
              </w:rPr>
            </w:pPr>
            <w:r>
              <w:rPr>
                <w:sz w:val="20"/>
              </w:rPr>
              <w:t>50 mL/hour every hour</w:t>
            </w:r>
          </w:p>
        </w:tc>
        <w:tc>
          <w:tcPr>
            <w:tcW w:w="1558" w:type="dxa"/>
          </w:tcPr>
          <w:p w:rsidR="007E2BC7" w14:paraId="232F2F75" w14:textId="77777777">
            <w:pPr>
              <w:jc w:val="center"/>
              <w:rPr>
                <w:sz w:val="20"/>
              </w:rPr>
            </w:pPr>
            <w:r>
              <w:rPr>
                <w:sz w:val="20"/>
              </w:rPr>
              <w:t>200 mL/hour</w:t>
            </w:r>
          </w:p>
        </w:tc>
      </w:tr>
      <w:tr w14:paraId="4A262D32" w14:textId="77777777">
        <w:tblPrEx>
          <w:tblW w:w="9072" w:type="dxa"/>
          <w:jc w:val="center"/>
          <w:tblLook w:val="04A0"/>
        </w:tblPrEx>
        <w:trPr>
          <w:cantSplit/>
          <w:jc w:val="center"/>
        </w:trPr>
        <w:tc>
          <w:tcPr>
            <w:tcW w:w="2916" w:type="dxa"/>
          </w:tcPr>
          <w:p w:rsidR="007E2BC7" w14:paraId="7DED2875" w14:textId="77777777">
            <w:pPr>
              <w:rPr>
                <w:i/>
                <w:sz w:val="20"/>
              </w:rPr>
            </w:pPr>
            <w:r>
              <w:rPr>
                <w:i/>
                <w:sz w:val="20"/>
              </w:rPr>
              <w:t>Option 2 (Split dose infusion)</w:t>
            </w:r>
          </w:p>
        </w:tc>
        <w:tc>
          <w:tcPr>
            <w:tcW w:w="6156" w:type="dxa"/>
            <w:gridSpan w:val="5"/>
          </w:tcPr>
          <w:p w:rsidR="007E2BC7" w14:paraId="0E3609E4" w14:textId="77777777">
            <w:pPr>
              <w:jc w:val="center"/>
              <w:rPr>
                <w:sz w:val="20"/>
              </w:rPr>
            </w:pPr>
          </w:p>
        </w:tc>
      </w:tr>
      <w:tr w14:paraId="5C74EF40" w14:textId="77777777">
        <w:tblPrEx>
          <w:tblW w:w="9072" w:type="dxa"/>
          <w:jc w:val="center"/>
          <w:tblLook w:val="04A0"/>
        </w:tblPrEx>
        <w:trPr>
          <w:cantSplit/>
          <w:jc w:val="center"/>
        </w:trPr>
        <w:tc>
          <w:tcPr>
            <w:tcW w:w="2916" w:type="dxa"/>
          </w:tcPr>
          <w:p w:rsidR="007E2BC7" w14:paraId="35A0A7F0" w14:textId="142BCE14">
            <w:pPr>
              <w:ind w:left="567"/>
              <w:rPr>
                <w:sz w:val="20"/>
              </w:rPr>
            </w:pPr>
            <w:r>
              <w:rPr>
                <w:sz w:val="20"/>
              </w:rPr>
              <w:t>Week 1 day 1 (8 mg/kg)</w:t>
            </w:r>
          </w:p>
        </w:tc>
        <w:tc>
          <w:tcPr>
            <w:tcW w:w="1128" w:type="dxa"/>
            <w:gridSpan w:val="2"/>
          </w:tcPr>
          <w:p w:rsidR="007E2BC7" w14:paraId="6F5774AE" w14:textId="77777777">
            <w:pPr>
              <w:jc w:val="center"/>
              <w:rPr>
                <w:sz w:val="20"/>
              </w:rPr>
            </w:pPr>
            <w:r>
              <w:rPr>
                <w:sz w:val="20"/>
              </w:rPr>
              <w:t>500 mL</w:t>
            </w:r>
          </w:p>
        </w:tc>
        <w:tc>
          <w:tcPr>
            <w:tcW w:w="1266" w:type="dxa"/>
          </w:tcPr>
          <w:p w:rsidR="007E2BC7" w14:paraId="092436E4" w14:textId="77777777">
            <w:pPr>
              <w:jc w:val="center"/>
              <w:rPr>
                <w:sz w:val="20"/>
              </w:rPr>
            </w:pPr>
            <w:r>
              <w:rPr>
                <w:sz w:val="20"/>
              </w:rPr>
              <w:t>50 mL/hour</w:t>
            </w:r>
          </w:p>
        </w:tc>
        <w:tc>
          <w:tcPr>
            <w:tcW w:w="2204" w:type="dxa"/>
          </w:tcPr>
          <w:p w:rsidR="007E2BC7" w14:paraId="4D5A9016" w14:textId="77777777">
            <w:pPr>
              <w:jc w:val="center"/>
              <w:rPr>
                <w:sz w:val="20"/>
              </w:rPr>
            </w:pPr>
            <w:r>
              <w:rPr>
                <w:sz w:val="20"/>
              </w:rPr>
              <w:t>50 mL/hour every hour</w:t>
            </w:r>
          </w:p>
        </w:tc>
        <w:tc>
          <w:tcPr>
            <w:tcW w:w="1558" w:type="dxa"/>
          </w:tcPr>
          <w:p w:rsidR="007E2BC7" w14:paraId="26566BDE" w14:textId="77777777">
            <w:pPr>
              <w:jc w:val="center"/>
              <w:rPr>
                <w:sz w:val="20"/>
              </w:rPr>
            </w:pPr>
            <w:r>
              <w:rPr>
                <w:sz w:val="20"/>
              </w:rPr>
              <w:t>200 mL/hour</w:t>
            </w:r>
          </w:p>
        </w:tc>
      </w:tr>
      <w:tr w14:paraId="35BFBC1B" w14:textId="77777777">
        <w:tblPrEx>
          <w:tblW w:w="9072" w:type="dxa"/>
          <w:jc w:val="center"/>
          <w:tblLook w:val="04A0"/>
        </w:tblPrEx>
        <w:trPr>
          <w:cantSplit/>
          <w:jc w:val="center"/>
        </w:trPr>
        <w:tc>
          <w:tcPr>
            <w:tcW w:w="2916" w:type="dxa"/>
          </w:tcPr>
          <w:p w:rsidR="007E2BC7" w14:paraId="0D0B4EA8" w14:textId="527147CA">
            <w:pPr>
              <w:ind w:left="567"/>
              <w:rPr>
                <w:sz w:val="20"/>
              </w:rPr>
            </w:pPr>
            <w:r>
              <w:rPr>
                <w:sz w:val="20"/>
              </w:rPr>
              <w:t xml:space="preserve">Week 1 day 2 (8 mg/kg) </w:t>
            </w:r>
          </w:p>
        </w:tc>
        <w:tc>
          <w:tcPr>
            <w:tcW w:w="1128" w:type="dxa"/>
            <w:gridSpan w:val="2"/>
            <w:tcBorders>
              <w:bottom w:val="single" w:sz="4" w:space="0" w:color="auto"/>
            </w:tcBorders>
          </w:tcPr>
          <w:p w:rsidR="007E2BC7" w14:paraId="05D545CC" w14:textId="77777777">
            <w:pPr>
              <w:jc w:val="center"/>
              <w:rPr>
                <w:sz w:val="20"/>
              </w:rPr>
            </w:pPr>
            <w:r>
              <w:rPr>
                <w:sz w:val="20"/>
              </w:rPr>
              <w:t>500 mL</w:t>
            </w:r>
          </w:p>
        </w:tc>
        <w:tc>
          <w:tcPr>
            <w:tcW w:w="1266" w:type="dxa"/>
            <w:tcBorders>
              <w:bottom w:val="single" w:sz="4" w:space="0" w:color="auto"/>
            </w:tcBorders>
          </w:tcPr>
          <w:p w:rsidR="007E2BC7" w14:paraId="61E35084" w14:textId="77777777">
            <w:pPr>
              <w:jc w:val="center"/>
              <w:rPr>
                <w:sz w:val="20"/>
              </w:rPr>
            </w:pPr>
            <w:r>
              <w:rPr>
                <w:sz w:val="20"/>
              </w:rPr>
              <w:t>50 mL/hour</w:t>
            </w:r>
          </w:p>
        </w:tc>
        <w:tc>
          <w:tcPr>
            <w:tcW w:w="2204" w:type="dxa"/>
            <w:tcBorders>
              <w:bottom w:val="single" w:sz="4" w:space="0" w:color="auto"/>
            </w:tcBorders>
          </w:tcPr>
          <w:p w:rsidR="007E2BC7" w14:paraId="6894B4A3" w14:textId="77777777">
            <w:pPr>
              <w:jc w:val="center"/>
              <w:rPr>
                <w:sz w:val="20"/>
              </w:rPr>
            </w:pPr>
            <w:r>
              <w:rPr>
                <w:sz w:val="20"/>
              </w:rPr>
              <w:t>50 mL/hour every hour</w:t>
            </w:r>
          </w:p>
        </w:tc>
        <w:tc>
          <w:tcPr>
            <w:tcW w:w="1558" w:type="dxa"/>
            <w:tcBorders>
              <w:bottom w:val="single" w:sz="4" w:space="0" w:color="auto"/>
            </w:tcBorders>
          </w:tcPr>
          <w:p w:rsidR="007E2BC7" w14:paraId="2BE2C581" w14:textId="77777777">
            <w:pPr>
              <w:jc w:val="center"/>
              <w:rPr>
                <w:sz w:val="20"/>
              </w:rPr>
            </w:pPr>
            <w:r>
              <w:rPr>
                <w:sz w:val="20"/>
              </w:rPr>
              <w:t>200 mL/hour</w:t>
            </w:r>
          </w:p>
        </w:tc>
      </w:tr>
      <w:tr w14:paraId="2BEEF969" w14:textId="77777777">
        <w:tblPrEx>
          <w:tblW w:w="9072" w:type="dxa"/>
          <w:jc w:val="center"/>
          <w:tblLook w:val="04A0"/>
        </w:tblPrEx>
        <w:trPr>
          <w:cantSplit/>
          <w:jc w:val="center"/>
        </w:trPr>
        <w:tc>
          <w:tcPr>
            <w:tcW w:w="2924" w:type="dxa"/>
            <w:gridSpan w:val="2"/>
          </w:tcPr>
          <w:p w:rsidR="007E2BC7" w14:paraId="17A03446" w14:textId="77777777">
            <w:pPr>
              <w:keepNext/>
              <w:rPr>
                <w:b/>
                <w:sz w:val="20"/>
              </w:rPr>
            </w:pPr>
            <w:r>
              <w:rPr>
                <w:b/>
                <w:sz w:val="20"/>
              </w:rPr>
              <w:t>Week 2 (16 mg/kg)infusion</w:t>
            </w:r>
            <w:r>
              <w:rPr>
                <w:b/>
                <w:sz w:val="20"/>
                <w:vertAlign w:val="superscript"/>
              </w:rPr>
              <w:t>b</w:t>
            </w:r>
          </w:p>
        </w:tc>
        <w:tc>
          <w:tcPr>
            <w:tcW w:w="1120" w:type="dxa"/>
          </w:tcPr>
          <w:p w:rsidR="007E2BC7" w14:paraId="78021A72" w14:textId="77777777">
            <w:pPr>
              <w:jc w:val="center"/>
              <w:rPr>
                <w:sz w:val="20"/>
              </w:rPr>
            </w:pPr>
            <w:r>
              <w:rPr>
                <w:sz w:val="20"/>
              </w:rPr>
              <w:t>500 mL</w:t>
            </w:r>
          </w:p>
        </w:tc>
        <w:tc>
          <w:tcPr>
            <w:tcW w:w="1266" w:type="dxa"/>
          </w:tcPr>
          <w:p w:rsidR="007E2BC7" w14:paraId="03BD9063" w14:textId="77777777">
            <w:pPr>
              <w:jc w:val="center"/>
              <w:rPr>
                <w:sz w:val="20"/>
              </w:rPr>
            </w:pPr>
            <w:r>
              <w:rPr>
                <w:sz w:val="20"/>
              </w:rPr>
              <w:t>50 mL/hour</w:t>
            </w:r>
          </w:p>
        </w:tc>
        <w:tc>
          <w:tcPr>
            <w:tcW w:w="2204" w:type="dxa"/>
          </w:tcPr>
          <w:p w:rsidR="007E2BC7" w14:paraId="1A58DAF1" w14:textId="77777777">
            <w:pPr>
              <w:jc w:val="center"/>
              <w:rPr>
                <w:sz w:val="20"/>
              </w:rPr>
            </w:pPr>
            <w:r>
              <w:rPr>
                <w:sz w:val="20"/>
              </w:rPr>
              <w:t>50 mL/hour every hour</w:t>
            </w:r>
          </w:p>
        </w:tc>
        <w:tc>
          <w:tcPr>
            <w:tcW w:w="1558" w:type="dxa"/>
          </w:tcPr>
          <w:p w:rsidR="007E2BC7" w14:paraId="5DD41322" w14:textId="77777777">
            <w:pPr>
              <w:jc w:val="center"/>
              <w:rPr>
                <w:sz w:val="20"/>
              </w:rPr>
            </w:pPr>
            <w:r>
              <w:rPr>
                <w:sz w:val="20"/>
              </w:rPr>
              <w:t>200 mL/hour</w:t>
            </w:r>
          </w:p>
        </w:tc>
      </w:tr>
      <w:tr w14:paraId="25EDD073" w14:textId="77777777">
        <w:tblPrEx>
          <w:tblW w:w="9072" w:type="dxa"/>
          <w:jc w:val="center"/>
          <w:tblLook w:val="04A0"/>
        </w:tblPrEx>
        <w:trPr>
          <w:cantSplit/>
          <w:jc w:val="center"/>
        </w:trPr>
        <w:tc>
          <w:tcPr>
            <w:tcW w:w="2924" w:type="dxa"/>
            <w:gridSpan w:val="2"/>
            <w:tcBorders>
              <w:bottom w:val="single" w:sz="4" w:space="0" w:color="auto"/>
            </w:tcBorders>
          </w:tcPr>
          <w:p w:rsidR="007E2BC7" w14:paraId="09E306DE" w14:textId="47DE7355">
            <w:pPr>
              <w:rPr>
                <w:b/>
                <w:sz w:val="20"/>
              </w:rPr>
            </w:pPr>
            <w:r>
              <w:rPr>
                <w:b/>
                <w:sz w:val="20"/>
              </w:rPr>
              <w:t>Subsequent (week 3 onwards, 16 mg/kg) infusions</w:t>
            </w:r>
            <w:r>
              <w:rPr>
                <w:b/>
                <w:sz w:val="20"/>
                <w:vertAlign w:val="superscript"/>
              </w:rPr>
              <w:t>c</w:t>
            </w:r>
          </w:p>
        </w:tc>
        <w:tc>
          <w:tcPr>
            <w:tcW w:w="1120" w:type="dxa"/>
            <w:tcBorders>
              <w:bottom w:val="single" w:sz="4" w:space="0" w:color="auto"/>
            </w:tcBorders>
          </w:tcPr>
          <w:p w:rsidR="007E2BC7" w14:paraId="658B1E54" w14:textId="77777777">
            <w:pPr>
              <w:jc w:val="center"/>
              <w:rPr>
                <w:sz w:val="20"/>
              </w:rPr>
            </w:pPr>
            <w:r>
              <w:rPr>
                <w:sz w:val="20"/>
              </w:rPr>
              <w:t>500 mL</w:t>
            </w:r>
          </w:p>
        </w:tc>
        <w:tc>
          <w:tcPr>
            <w:tcW w:w="1266" w:type="dxa"/>
            <w:tcBorders>
              <w:bottom w:val="single" w:sz="4" w:space="0" w:color="auto"/>
            </w:tcBorders>
          </w:tcPr>
          <w:p w:rsidR="007E2BC7" w14:paraId="251778C0" w14:textId="77777777">
            <w:pPr>
              <w:jc w:val="center"/>
              <w:rPr>
                <w:sz w:val="20"/>
              </w:rPr>
            </w:pPr>
            <w:r>
              <w:rPr>
                <w:sz w:val="20"/>
              </w:rPr>
              <w:t>100 mL/hour</w:t>
            </w:r>
          </w:p>
        </w:tc>
        <w:tc>
          <w:tcPr>
            <w:tcW w:w="2204" w:type="dxa"/>
            <w:tcBorders>
              <w:bottom w:val="single" w:sz="4" w:space="0" w:color="auto"/>
            </w:tcBorders>
          </w:tcPr>
          <w:p w:rsidR="007E2BC7" w14:paraId="10801760" w14:textId="77777777">
            <w:pPr>
              <w:jc w:val="center"/>
              <w:rPr>
                <w:sz w:val="20"/>
              </w:rPr>
            </w:pPr>
            <w:r>
              <w:rPr>
                <w:sz w:val="20"/>
              </w:rPr>
              <w:t>50 mL/hour every hour</w:t>
            </w:r>
          </w:p>
        </w:tc>
        <w:tc>
          <w:tcPr>
            <w:tcW w:w="1558" w:type="dxa"/>
            <w:tcBorders>
              <w:bottom w:val="single" w:sz="4" w:space="0" w:color="auto"/>
            </w:tcBorders>
          </w:tcPr>
          <w:p w:rsidR="007E2BC7" w14:paraId="1D0D6524" w14:textId="77777777">
            <w:pPr>
              <w:jc w:val="center"/>
              <w:rPr>
                <w:sz w:val="20"/>
              </w:rPr>
            </w:pPr>
            <w:r>
              <w:rPr>
                <w:sz w:val="20"/>
              </w:rPr>
              <w:t>200 mL/hour</w:t>
            </w:r>
          </w:p>
        </w:tc>
      </w:tr>
      <w:tr w14:paraId="6E1B6393" w14:textId="77777777">
        <w:tblPrEx>
          <w:tblW w:w="9072" w:type="dxa"/>
          <w:jc w:val="center"/>
          <w:tblLook w:val="04A0"/>
        </w:tblPrEx>
        <w:trPr>
          <w:cantSplit/>
          <w:jc w:val="center"/>
        </w:trPr>
        <w:tc>
          <w:tcPr>
            <w:tcW w:w="9072" w:type="dxa"/>
            <w:gridSpan w:val="6"/>
            <w:tcBorders>
              <w:top w:val="single" w:sz="4" w:space="0" w:color="auto"/>
              <w:left w:val="nil"/>
              <w:bottom w:val="nil"/>
              <w:right w:val="nil"/>
            </w:tcBorders>
          </w:tcPr>
          <w:p w:rsidR="007E2BC7" w14:paraId="2F62925C" w14:textId="77777777">
            <w:pPr>
              <w:ind w:left="284" w:hanging="284"/>
              <w:rPr>
                <w:szCs w:val="22"/>
              </w:rPr>
            </w:pPr>
            <w:r>
              <w:rPr>
                <w:szCs w:val="22"/>
                <w:vertAlign w:val="superscript"/>
              </w:rPr>
              <w:t>a</w:t>
            </w:r>
            <w:r>
              <w:rPr>
                <w:szCs w:val="22"/>
              </w:rPr>
              <w:tab/>
            </w:r>
            <w:r>
              <w:rPr>
                <w:sz w:val="18"/>
                <w:szCs w:val="18"/>
              </w:rPr>
              <w:t>Incremental escalation of the infusion rate should be considered only in the absence of infusion reactions.</w:t>
            </w:r>
          </w:p>
          <w:p w:rsidR="007E2BC7" w14:paraId="7395B14E" w14:textId="4D2512F6">
            <w:pPr>
              <w:ind w:left="284" w:hanging="284"/>
              <w:rPr>
                <w:sz w:val="18"/>
                <w:szCs w:val="18"/>
              </w:rPr>
            </w:pPr>
            <w:r>
              <w:rPr>
                <w:szCs w:val="22"/>
                <w:vertAlign w:val="superscript"/>
              </w:rPr>
              <w:t>b</w:t>
            </w:r>
            <w:r>
              <w:rPr>
                <w:sz w:val="18"/>
                <w:szCs w:val="18"/>
              </w:rPr>
              <w:tab/>
              <w:t xml:space="preserve">A dilution volume of 500 mL for the 16 mg/kg dose should be used only if there were no IRRs </w:t>
            </w:r>
            <w:r>
              <w:rPr>
                <w:sz w:val="18"/>
              </w:rPr>
              <w:t>the previous week</w:t>
            </w:r>
            <w:r>
              <w:rPr>
                <w:sz w:val="18"/>
                <w:szCs w:val="18"/>
              </w:rPr>
              <w:t>. Otherwise, use a dilution volume of 1000 mL.</w:t>
            </w:r>
          </w:p>
          <w:p w:rsidR="007E2BC7" w14:paraId="50BFEE07" w14:textId="02EED53B">
            <w:pPr>
              <w:ind w:left="284" w:hanging="284"/>
            </w:pPr>
            <w:r>
              <w:rPr>
                <w:szCs w:val="22"/>
                <w:vertAlign w:val="superscript"/>
              </w:rPr>
              <w:t>c</w:t>
            </w:r>
            <w:r>
              <w:rPr>
                <w:sz w:val="18"/>
                <w:szCs w:val="18"/>
              </w:rPr>
              <w:tab/>
              <w:t xml:space="preserve">A modified initial rate </w:t>
            </w:r>
            <w:r>
              <w:rPr>
                <w:sz w:val="18"/>
              </w:rPr>
              <w:t xml:space="preserve">(100 mL/hour) for subsequent infusions (i.e. week 3 onwards) </w:t>
            </w:r>
            <w:r>
              <w:rPr>
                <w:sz w:val="18"/>
                <w:szCs w:val="18"/>
              </w:rPr>
              <w:t>should only be used only if there were no IRRs during the previous infusion.</w:t>
            </w:r>
            <w:r>
              <w:rPr>
                <w:sz w:val="18"/>
              </w:rPr>
              <w:t xml:space="preserve"> Otherwise, continue to use instructions indicated in the table for the week 2 infusion rate</w:t>
            </w:r>
            <w:r>
              <w:rPr>
                <w:sz w:val="18"/>
                <w:szCs w:val="18"/>
              </w:rPr>
              <w:t>.</w:t>
            </w:r>
          </w:p>
        </w:tc>
      </w:tr>
    </w:tbl>
    <w:p w:rsidR="007E2BC7" w14:paraId="2BC7E0DC" w14:textId="77777777">
      <w:pPr>
        <w:rPr>
          <w:szCs w:val="22"/>
        </w:rPr>
      </w:pPr>
    </w:p>
    <w:p w:rsidR="007E2BC7" w14:paraId="2E0A2579" w14:textId="77777777">
      <w:pPr>
        <w:keepNext/>
        <w:outlineLvl w:val="3"/>
        <w:rPr>
          <w:i/>
          <w:szCs w:val="22"/>
        </w:rPr>
      </w:pPr>
      <w:r>
        <w:rPr>
          <w:i/>
          <w:szCs w:val="22"/>
        </w:rPr>
        <w:t>Management of infusion</w:t>
      </w:r>
      <w:r>
        <w:rPr>
          <w:i/>
          <w:szCs w:val="22"/>
        </w:rPr>
        <w:noBreakHyphen/>
        <w:t>related reactions</w:t>
      </w:r>
    </w:p>
    <w:p w:rsidR="007E2BC7" w14:paraId="564C6CB8" w14:textId="015AF15A">
      <w:pPr>
        <w:rPr>
          <w:szCs w:val="22"/>
        </w:rPr>
      </w:pPr>
      <w:r>
        <w:rPr>
          <w:szCs w:val="22"/>
        </w:rPr>
        <w:t>Pre</w:t>
      </w:r>
      <w:r>
        <w:rPr>
          <w:szCs w:val="22"/>
        </w:rPr>
        <w:noBreakHyphen/>
        <w:t>infusion medicinal products should be administered to reduce the risk of infusion</w:t>
      </w:r>
      <w:r>
        <w:rPr>
          <w:szCs w:val="22"/>
        </w:rPr>
        <w:noBreakHyphen/>
        <w:t xml:space="preserve">related reactions (IRRs) prior to treatment with </w:t>
      </w:r>
      <w:r w:rsidR="00E65908">
        <w:rPr>
          <w:szCs w:val="22"/>
        </w:rPr>
        <w:t>DARZALEX</w:t>
      </w:r>
      <w:r>
        <w:rPr>
          <w:szCs w:val="22"/>
        </w:rPr>
        <w:t>.</w:t>
      </w:r>
    </w:p>
    <w:p w:rsidR="007E2BC7" w14:paraId="4CF3BFE9" w14:textId="77777777">
      <w:pPr>
        <w:rPr>
          <w:szCs w:val="22"/>
        </w:rPr>
      </w:pPr>
    </w:p>
    <w:p w:rsidR="007E2BC7" w14:paraId="3E162B28" w14:textId="18E9C232">
      <w:pPr>
        <w:rPr>
          <w:szCs w:val="22"/>
        </w:rPr>
      </w:pPr>
      <w:r>
        <w:rPr>
          <w:szCs w:val="22"/>
        </w:rPr>
        <w:t xml:space="preserve">For IRRs of any grade/severity, immediately interrupt the </w:t>
      </w:r>
      <w:r w:rsidR="00E65908">
        <w:rPr>
          <w:szCs w:val="22"/>
        </w:rPr>
        <w:t>DARZALEX</w:t>
      </w:r>
      <w:r>
        <w:rPr>
          <w:szCs w:val="22"/>
        </w:rPr>
        <w:t xml:space="preserve"> infusion and manage symptoms.</w:t>
      </w:r>
    </w:p>
    <w:p w:rsidR="007E2BC7" w14:paraId="73826B61" w14:textId="77777777">
      <w:pPr>
        <w:rPr>
          <w:szCs w:val="22"/>
        </w:rPr>
      </w:pPr>
    </w:p>
    <w:p w:rsidR="007E2BC7" w14:paraId="6D5E5DE0" w14:textId="5ACBA9FE">
      <w:pPr>
        <w:rPr>
          <w:szCs w:val="22"/>
        </w:rPr>
      </w:pPr>
      <w:r>
        <w:rPr>
          <w:szCs w:val="22"/>
        </w:rPr>
        <w:t xml:space="preserve">Management of IRRs may further require reduction in the rate of infusion, or treatment discontinuation of </w:t>
      </w:r>
      <w:r w:rsidR="00E65908">
        <w:rPr>
          <w:szCs w:val="22"/>
        </w:rPr>
        <w:t>DARZALEX</w:t>
      </w:r>
      <w:r>
        <w:rPr>
          <w:szCs w:val="22"/>
        </w:rPr>
        <w:t xml:space="preserve"> as outlined below (see section 4.4).</w:t>
      </w:r>
    </w:p>
    <w:p w:rsidR="007E2BC7" w14:paraId="58443B1B" w14:textId="719816A5">
      <w:pPr>
        <w:numPr>
          <w:ilvl w:val="0"/>
          <w:numId w:val="3"/>
        </w:numPr>
        <w:ind w:left="567" w:hanging="567"/>
      </w:pPr>
      <w:r>
        <w:t>Grade 1</w:t>
      </w:r>
      <w:r>
        <w:noBreakHyphen/>
        <w:t>2 (mild to moderate): Once reaction symptoms resolve, the infusion should be resumed at no more than half the rate at which the IRR occurred. If the patient does not experience any further IRR symptoms, infusion rate escalation may be resumed at increments and intervals as clinically appropriate up to the maximum rate of 200 mL/hour (table 5).</w:t>
      </w:r>
    </w:p>
    <w:p w:rsidR="007E2BC7" w14:paraId="4C9C67D4" w14:textId="52455299">
      <w:pPr>
        <w:numPr>
          <w:ilvl w:val="0"/>
          <w:numId w:val="3"/>
        </w:numPr>
        <w:ind w:left="567" w:hanging="567"/>
      </w:pPr>
      <w:r>
        <w:t xml:space="preserve">Grade 3 (severe): Once reaction symptoms resolve, restarting of the infusion may be considered at no more than half the rate at which the reaction occurred. If the patient does not experience additional symptoms, infusion rate escalation may be resumed at increments and intervals as appropriate (table 5). The procedure above should be repeated in the event of recurrence of grade 3 symptoms. Permanently discontinue </w:t>
      </w:r>
      <w:r w:rsidR="00E65908">
        <w:t>DARZALEX</w:t>
      </w:r>
      <w:r>
        <w:t xml:space="preserve"> upon the third occurrence of a grade 3 or greater infusion reaction.</w:t>
      </w:r>
    </w:p>
    <w:p w:rsidR="007E2BC7" w14:paraId="274814DF" w14:textId="487E8728">
      <w:pPr>
        <w:numPr>
          <w:ilvl w:val="0"/>
          <w:numId w:val="3"/>
        </w:numPr>
        <w:ind w:left="567" w:hanging="567"/>
      </w:pPr>
      <w:r>
        <w:t>Grade 4 (life</w:t>
      </w:r>
      <w:r>
        <w:noBreakHyphen/>
        <w:t xml:space="preserve">threatening): Permanently discontinue </w:t>
      </w:r>
      <w:r w:rsidR="00E65908">
        <w:t>DARZALEX</w:t>
      </w:r>
      <w:r>
        <w:t xml:space="preserve"> treatment.</w:t>
      </w:r>
    </w:p>
    <w:p w:rsidR="007E2BC7" w14:paraId="13557539" w14:textId="77777777"/>
    <w:p w:rsidR="007E2BC7" w14:paraId="507EC6C0" w14:textId="77777777">
      <w:pPr>
        <w:keepNext/>
        <w:outlineLvl w:val="3"/>
        <w:rPr>
          <w:i/>
        </w:rPr>
      </w:pPr>
      <w:r>
        <w:rPr>
          <w:i/>
        </w:rPr>
        <w:t xml:space="preserve">Missed dose </w:t>
      </w:r>
    </w:p>
    <w:p w:rsidR="007E2BC7" w14:paraId="2A9B92B0" w14:textId="3913DFA0">
      <w:r>
        <w:t xml:space="preserve">If a planned dose of </w:t>
      </w:r>
      <w:r w:rsidR="00E65908">
        <w:t>DARZALEX</w:t>
      </w:r>
      <w:r>
        <w:t xml:space="preserve"> is missed, the dose should be administered as soon as possible and the dosing schedule should be adjusted accordingly, maintaining the treatment interval.</w:t>
      </w:r>
    </w:p>
    <w:p w:rsidR="007E2BC7" w14:paraId="2D5722BC" w14:textId="77777777"/>
    <w:p w:rsidR="007E2BC7" w14:paraId="02DC5400" w14:textId="77777777">
      <w:pPr>
        <w:keepNext/>
        <w:outlineLvl w:val="3"/>
        <w:rPr>
          <w:i/>
        </w:rPr>
      </w:pPr>
      <w:r>
        <w:rPr>
          <w:i/>
        </w:rPr>
        <w:t>Dose modifications</w:t>
      </w:r>
    </w:p>
    <w:p w:rsidR="007E2BC7" w14:paraId="598F4556" w14:textId="33983A52">
      <w:r>
        <w:t xml:space="preserve">No dose reductions of </w:t>
      </w:r>
      <w:r w:rsidR="00E65908">
        <w:t>DARZALEX</w:t>
      </w:r>
      <w:r>
        <w:t xml:space="preserve"> are recommended. Dose delay may be required to allow recovery of blood cell counts in the event of haematological toxicity</w:t>
      </w:r>
      <w:r>
        <w:rPr>
          <w:i/>
        </w:rPr>
        <w:t xml:space="preserve"> </w:t>
      </w:r>
      <w:r>
        <w:t xml:space="preserve">(see section 4.4). For information concerning medicinal products given in combination with </w:t>
      </w:r>
      <w:r w:rsidR="00E65908">
        <w:t>DARZALEX</w:t>
      </w:r>
      <w:r>
        <w:t xml:space="preserve">, see corresponding </w:t>
      </w:r>
      <w:r w:rsidRPr="0053133F" w:rsidR="00EC2EA6">
        <w:rPr>
          <w:szCs w:val="22"/>
        </w:rPr>
        <w:t>prescribing information (PI)</w:t>
      </w:r>
      <w:r w:rsidR="00EC2EA6">
        <w:rPr>
          <w:szCs w:val="22"/>
        </w:rPr>
        <w:t>.</w:t>
      </w:r>
    </w:p>
    <w:p w:rsidR="007E2BC7" w14:paraId="6863DD11" w14:textId="77777777"/>
    <w:p w:rsidR="007E2BC7" w14:paraId="5A24CA70" w14:textId="2AB16AEF">
      <w:pPr>
        <w:keepNext/>
        <w:outlineLvl w:val="2"/>
        <w:rPr>
          <w:szCs w:val="22"/>
          <w:u w:val="single"/>
        </w:rPr>
      </w:pPr>
      <w:r>
        <w:rPr>
          <w:szCs w:val="22"/>
          <w:u w:val="single"/>
        </w:rPr>
        <w:t>Recommended concomitant medicinal products</w:t>
      </w:r>
    </w:p>
    <w:p w:rsidR="00BE5B9E" w14:paraId="73601A3A" w14:textId="77777777">
      <w:pPr>
        <w:keepNext/>
        <w:outlineLvl w:val="2"/>
        <w:rPr>
          <w:szCs w:val="22"/>
          <w:u w:val="single"/>
        </w:rPr>
      </w:pPr>
    </w:p>
    <w:p w:rsidR="007E2BC7" w14:paraId="50770ECB" w14:textId="77777777">
      <w:pPr>
        <w:keepNext/>
        <w:outlineLvl w:val="3"/>
        <w:rPr>
          <w:i/>
          <w:szCs w:val="22"/>
        </w:rPr>
      </w:pPr>
      <w:r>
        <w:rPr>
          <w:i/>
          <w:szCs w:val="22"/>
        </w:rPr>
        <w:t>Pre</w:t>
      </w:r>
      <w:r>
        <w:rPr>
          <w:i/>
          <w:szCs w:val="22"/>
        </w:rPr>
        <w:noBreakHyphen/>
        <w:t xml:space="preserve">infusion </w:t>
      </w:r>
      <w:r>
        <w:rPr>
          <w:szCs w:val="22"/>
        </w:rPr>
        <w:t>medicinal product</w:t>
      </w:r>
    </w:p>
    <w:p w:rsidR="007E2BC7" w14:paraId="027F4F00" w14:textId="720217CE">
      <w:pPr>
        <w:keepNext/>
      </w:pPr>
      <w:r>
        <w:t>Pre</w:t>
      </w:r>
      <w:r>
        <w:noBreakHyphen/>
        <w:t xml:space="preserve">infusion </w:t>
      </w:r>
      <w:r>
        <w:rPr>
          <w:szCs w:val="22"/>
        </w:rPr>
        <w:t xml:space="preserve">medicinal products </w:t>
      </w:r>
      <w:r>
        <w:t xml:space="preserve">should be administered to reduce the risk of IRRs to all patients 1-3 hours prior to every infusion of </w:t>
      </w:r>
      <w:r w:rsidR="00E65908">
        <w:t>DARZALEX</w:t>
      </w:r>
      <w:r>
        <w:t xml:space="preserve"> as follows:</w:t>
      </w:r>
    </w:p>
    <w:p w:rsidR="007E2BC7" w14:paraId="690670E3" w14:textId="77777777">
      <w:pPr>
        <w:keepNext/>
      </w:pPr>
    </w:p>
    <w:p w:rsidR="007E2BC7" w14:paraId="3725B605" w14:textId="77777777">
      <w:pPr>
        <w:keepNext/>
        <w:numPr>
          <w:ilvl w:val="0"/>
          <w:numId w:val="3"/>
        </w:numPr>
        <w:ind w:left="567" w:hanging="567"/>
      </w:pPr>
      <w:r>
        <w:t>Corticosteroid (long-acting or intermediate-acting)</w:t>
      </w:r>
    </w:p>
    <w:p w:rsidR="007E2BC7" w14:paraId="3CC4AA78" w14:textId="77777777">
      <w:pPr>
        <w:keepNext/>
        <w:numPr>
          <w:ilvl w:val="0"/>
          <w:numId w:val="32"/>
        </w:numPr>
      </w:pPr>
      <w:r>
        <w:t>Monotherapy:</w:t>
      </w:r>
    </w:p>
    <w:p w:rsidR="007E2BC7" w14:paraId="5FCC9076" w14:textId="77777777">
      <w:pPr>
        <w:ind w:left="927"/>
      </w:pPr>
      <w:r>
        <w:t>Methylprednisolone 100 mg, or equivalent, administered intravenously. Following the second infusion, the dose of corticosteroid may be reduced (oral or intravenous methylprednisolone 60 mg).</w:t>
      </w:r>
    </w:p>
    <w:p w:rsidR="007E2BC7" w14:paraId="45CEFB06" w14:textId="77777777">
      <w:pPr>
        <w:keepNext/>
        <w:numPr>
          <w:ilvl w:val="0"/>
          <w:numId w:val="32"/>
        </w:numPr>
      </w:pPr>
      <w:r>
        <w:t>Combination therapy:</w:t>
      </w:r>
    </w:p>
    <w:p w:rsidR="007E2BC7" w14:paraId="3080EE32" w14:textId="31CEE4CD">
      <w:pPr>
        <w:ind w:left="927"/>
      </w:pPr>
      <w:r>
        <w:t xml:space="preserve">Dexamethasone 20 mg (or equivalent), administered prior to every </w:t>
      </w:r>
      <w:r w:rsidR="00E65908">
        <w:t>DARZALEX</w:t>
      </w:r>
      <w:r>
        <w:t xml:space="preserve"> infusion. When dexamethasone is the background</w:t>
      </w:r>
      <w:r>
        <w:noBreakHyphen/>
        <w:t>regimen specific corticosteroid, the dexamethasone treatment dose will instead serve as pre</w:t>
      </w:r>
      <w:r>
        <w:noBreakHyphen/>
        <w:t xml:space="preserve">infusion </w:t>
      </w:r>
      <w:r>
        <w:rPr>
          <w:szCs w:val="22"/>
        </w:rPr>
        <w:t>medicinal product</w:t>
      </w:r>
      <w:r>
        <w:t xml:space="preserve"> on </w:t>
      </w:r>
      <w:r w:rsidR="00E65908">
        <w:t>DARZALEX</w:t>
      </w:r>
      <w:r>
        <w:t xml:space="preserve"> infusion days (see section 5.1).</w:t>
      </w:r>
    </w:p>
    <w:p w:rsidR="007E2BC7" w14:paraId="5D3EC5E9" w14:textId="66470947">
      <w:pPr>
        <w:ind w:left="927"/>
        <w:rPr>
          <w:i/>
        </w:rPr>
      </w:pPr>
      <w:r>
        <w:t xml:space="preserve">Dexamethasone is given intravenously prior to the first </w:t>
      </w:r>
      <w:r w:rsidR="00E65908">
        <w:t>DARZALEX</w:t>
      </w:r>
      <w:r>
        <w:t xml:space="preserve"> infusion and oral administration may be considered prior to subsequent infusions. Additional background regimen specific corticosteroids (e.g. prednisone) should not be taken on </w:t>
      </w:r>
      <w:r w:rsidR="00E65908">
        <w:t>DARZALEX</w:t>
      </w:r>
      <w:r>
        <w:t xml:space="preserve"> </w:t>
      </w:r>
      <w:r>
        <w:t xml:space="preserve">infusion days when patients have received dexamethasone as a pre-infusion </w:t>
      </w:r>
      <w:r>
        <w:rPr>
          <w:szCs w:val="22"/>
        </w:rPr>
        <w:t>medicinal product</w:t>
      </w:r>
      <w:r>
        <w:t>.</w:t>
      </w:r>
    </w:p>
    <w:p w:rsidR="007E2BC7" w14:paraId="4C3B5C00" w14:textId="22553991">
      <w:pPr>
        <w:numPr>
          <w:ilvl w:val="0"/>
          <w:numId w:val="3"/>
        </w:numPr>
        <w:ind w:left="567" w:hanging="567"/>
      </w:pPr>
      <w:r>
        <w:t>Antipyretics (oral paracetamol 650 to 1000 mg)</w:t>
      </w:r>
    </w:p>
    <w:p w:rsidR="007E2BC7" w14:paraId="1C455C78" w14:textId="77777777">
      <w:pPr>
        <w:numPr>
          <w:ilvl w:val="0"/>
          <w:numId w:val="3"/>
        </w:numPr>
        <w:ind w:left="567" w:hanging="567"/>
      </w:pPr>
      <w:r>
        <w:t>Antihistamine (oral or intravenous diphenhydramine 25 to 50 mg or equivalent).</w:t>
      </w:r>
    </w:p>
    <w:p w:rsidR="007E2BC7" w14:paraId="2BF933B9" w14:textId="77777777"/>
    <w:p w:rsidR="007E2BC7" w14:paraId="124208AA" w14:textId="77777777">
      <w:pPr>
        <w:keepNext/>
        <w:outlineLvl w:val="3"/>
        <w:rPr>
          <w:i/>
          <w:iCs/>
          <w:szCs w:val="22"/>
        </w:rPr>
      </w:pPr>
      <w:r>
        <w:rPr>
          <w:i/>
          <w:iCs/>
          <w:szCs w:val="22"/>
        </w:rPr>
        <w:t>Post</w:t>
      </w:r>
      <w:r>
        <w:rPr>
          <w:i/>
          <w:iCs/>
          <w:szCs w:val="22"/>
        </w:rPr>
        <w:noBreakHyphen/>
        <w:t>infusion medicinal product</w:t>
      </w:r>
    </w:p>
    <w:p w:rsidR="007E2BC7" w14:paraId="0A532E0A" w14:textId="77777777">
      <w:pPr>
        <w:keepNext/>
      </w:pPr>
      <w:r>
        <w:rPr>
          <w:szCs w:val="22"/>
        </w:rPr>
        <w:t>P</w:t>
      </w:r>
      <w:r>
        <w:t xml:space="preserve">ost-infusion </w:t>
      </w:r>
      <w:r>
        <w:rPr>
          <w:szCs w:val="22"/>
        </w:rPr>
        <w:t>medicinal product</w:t>
      </w:r>
      <w:r>
        <w:t>s should be administered to reduce the risk of delayed IRRs as follows:</w:t>
      </w:r>
    </w:p>
    <w:p w:rsidR="007E2BC7" w14:paraId="3419E5AA" w14:textId="77777777">
      <w:pPr>
        <w:keepNext/>
      </w:pPr>
    </w:p>
    <w:p w:rsidR="007E2BC7" w14:paraId="608C6ECB" w14:textId="77777777">
      <w:pPr>
        <w:keepNext/>
        <w:ind w:left="567"/>
        <w:rPr>
          <w:szCs w:val="22"/>
        </w:rPr>
      </w:pPr>
      <w:r>
        <w:rPr>
          <w:szCs w:val="22"/>
        </w:rPr>
        <w:t>Monotherapy:</w:t>
      </w:r>
    </w:p>
    <w:p w:rsidR="007E2BC7" w14:paraId="068338E4" w14:textId="77777777">
      <w:pPr>
        <w:ind w:left="567"/>
      </w:pPr>
      <w:r>
        <w:rPr>
          <w:szCs w:val="22"/>
        </w:rPr>
        <w:t xml:space="preserve">Oral corticosteroid (20 mg methylprednisolone or equivalent dose of an </w:t>
      </w:r>
      <w:r>
        <w:t>intermediate</w:t>
      </w:r>
      <w:r>
        <w:noBreakHyphen/>
        <w:t>acting or long</w:t>
      </w:r>
      <w:r>
        <w:noBreakHyphen/>
        <w:t>acting</w:t>
      </w:r>
      <w:r>
        <w:rPr>
          <w:szCs w:val="22"/>
        </w:rPr>
        <w:t xml:space="preserve"> corticosteroid in accordance with local standards) should be administered </w:t>
      </w:r>
      <w:r>
        <w:t>on each of the two days following all infusions (beginning the day after the infusion).</w:t>
      </w:r>
    </w:p>
    <w:p w:rsidR="007E2BC7" w14:paraId="732A3FD1" w14:textId="77777777">
      <w:pPr>
        <w:keepNext/>
        <w:ind w:left="567"/>
      </w:pPr>
      <w:r>
        <w:t>Combination therapy:</w:t>
      </w:r>
    </w:p>
    <w:p w:rsidR="007E2BC7" w14:paraId="36DF2F96" w14:textId="67FF577E">
      <w:pPr>
        <w:ind w:left="567"/>
      </w:pPr>
      <w:r>
        <w:t xml:space="preserve">Consider administering low-dose oral methylprednisolone (≤ 20 mg) or equivalent the day after the </w:t>
      </w:r>
      <w:r w:rsidR="00E65908">
        <w:t>DARZALEX</w:t>
      </w:r>
      <w:r>
        <w:t xml:space="preserve"> infusion. However, if a background regimen-specific corticosteroid (e.g. dexamethasone, prednisone) is administered the day after the </w:t>
      </w:r>
      <w:r w:rsidR="00E65908">
        <w:t>DARZALEX</w:t>
      </w:r>
      <w:r>
        <w:t xml:space="preserve"> infusion, additional post-infusion </w:t>
      </w:r>
      <w:r>
        <w:rPr>
          <w:szCs w:val="22"/>
        </w:rPr>
        <w:t>medicinal product</w:t>
      </w:r>
      <w:r>
        <w:t>s may not be needed (see section 5.1).</w:t>
      </w:r>
    </w:p>
    <w:p w:rsidR="007E2BC7" w14:paraId="2B314E4F" w14:textId="77777777">
      <w:pPr>
        <w:rPr>
          <w:szCs w:val="22"/>
        </w:rPr>
      </w:pPr>
    </w:p>
    <w:p w:rsidR="007E2BC7" w14:paraId="1D95E4BF" w14:textId="77777777">
      <w:r>
        <w:rPr>
          <w:szCs w:val="22"/>
        </w:rPr>
        <w:t>Additionally, for patients with a history of chronic obstructive pulmonary disease, the use of post</w:t>
      </w:r>
      <w:r>
        <w:rPr>
          <w:szCs w:val="22"/>
        </w:rPr>
        <w:noBreakHyphen/>
        <w:t>infusion medicinal products including short and long acting bronchodilators, and inhaled corticosteroids should be considered. Following the first four infusions, if the patient experiences no major IRRs, these inhaled post</w:t>
      </w:r>
      <w:r>
        <w:rPr>
          <w:szCs w:val="22"/>
        </w:rPr>
        <w:noBreakHyphen/>
        <w:t>infusion medicinal products may be discontinued at the discretion of the physician.</w:t>
      </w:r>
    </w:p>
    <w:p w:rsidR="007E2BC7" w14:paraId="1A754822" w14:textId="77777777">
      <w:pPr>
        <w:rPr>
          <w:szCs w:val="22"/>
        </w:rPr>
      </w:pPr>
    </w:p>
    <w:p w:rsidR="007E2BC7" w14:paraId="205D048A" w14:textId="77777777">
      <w:pPr>
        <w:keepNext/>
        <w:rPr>
          <w:i/>
          <w:szCs w:val="22"/>
        </w:rPr>
      </w:pPr>
      <w:r>
        <w:rPr>
          <w:i/>
          <w:szCs w:val="22"/>
        </w:rPr>
        <w:t>Prophylaxis for herpes zoster virus reactivation</w:t>
      </w:r>
    </w:p>
    <w:p w:rsidR="007E2BC7" w14:paraId="2B83E0D9" w14:textId="77777777">
      <w:pPr>
        <w:rPr>
          <w:szCs w:val="22"/>
        </w:rPr>
      </w:pPr>
      <w:r>
        <w:rPr>
          <w:szCs w:val="22"/>
        </w:rPr>
        <w:t>Anti</w:t>
      </w:r>
      <w:r>
        <w:rPr>
          <w:szCs w:val="22"/>
        </w:rPr>
        <w:noBreakHyphen/>
        <w:t>viral prophylaxis should be considered for the prevention of herpes zoster virus reactivation.</w:t>
      </w:r>
    </w:p>
    <w:p w:rsidR="007E2BC7" w14:paraId="7D55BFF1" w14:textId="77777777">
      <w:pPr>
        <w:rPr>
          <w:szCs w:val="22"/>
        </w:rPr>
      </w:pPr>
    </w:p>
    <w:p w:rsidR="007E2BC7" w14:paraId="5DB17BF5" w14:textId="77777777">
      <w:pPr>
        <w:keepNext/>
        <w:outlineLvl w:val="2"/>
        <w:rPr>
          <w:szCs w:val="22"/>
          <w:u w:val="single"/>
        </w:rPr>
      </w:pPr>
      <w:r>
        <w:rPr>
          <w:szCs w:val="22"/>
          <w:u w:val="single"/>
        </w:rPr>
        <w:t>Special populations</w:t>
      </w:r>
    </w:p>
    <w:p w:rsidR="007E2BC7" w14:paraId="7CED4622" w14:textId="77777777">
      <w:pPr>
        <w:keepNext/>
        <w:autoSpaceDE w:val="0"/>
        <w:autoSpaceDN w:val="0"/>
        <w:adjustRightInd w:val="0"/>
        <w:outlineLvl w:val="3"/>
        <w:rPr>
          <w:szCs w:val="22"/>
        </w:rPr>
      </w:pPr>
      <w:r>
        <w:rPr>
          <w:i/>
          <w:szCs w:val="22"/>
        </w:rPr>
        <w:t>Renal impairment</w:t>
      </w:r>
    </w:p>
    <w:p w:rsidR="007E2BC7" w14:paraId="35A88847" w14:textId="77777777">
      <w:pPr>
        <w:autoSpaceDE w:val="0"/>
        <w:autoSpaceDN w:val="0"/>
        <w:adjustRightInd w:val="0"/>
        <w:rPr>
          <w:iCs/>
          <w:szCs w:val="22"/>
        </w:rPr>
      </w:pPr>
      <w:r>
        <w:rPr>
          <w:iCs/>
          <w:szCs w:val="22"/>
        </w:rPr>
        <w:t xml:space="preserve">No formal studies of daratumumab in patients with renal impairment have been conducted. </w:t>
      </w:r>
      <w:r>
        <w:t>Based on population pharmacokinetic (PK) analyses no dose adjustment is necessary for patients with renal impairment (see section 5.2).</w:t>
      </w:r>
    </w:p>
    <w:p w:rsidR="007E2BC7" w14:paraId="1D80E470" w14:textId="77777777"/>
    <w:p w:rsidR="007E2BC7" w14:paraId="74C84B97" w14:textId="77777777">
      <w:pPr>
        <w:keepNext/>
        <w:autoSpaceDE w:val="0"/>
        <w:autoSpaceDN w:val="0"/>
        <w:adjustRightInd w:val="0"/>
        <w:outlineLvl w:val="3"/>
        <w:rPr>
          <w:szCs w:val="22"/>
        </w:rPr>
      </w:pPr>
      <w:r>
        <w:rPr>
          <w:i/>
          <w:szCs w:val="22"/>
        </w:rPr>
        <w:t>Hepatic impairment</w:t>
      </w:r>
    </w:p>
    <w:p w:rsidR="007E2BC7" w14:paraId="4308D4D2" w14:textId="77777777">
      <w:pPr>
        <w:autoSpaceDE w:val="0"/>
        <w:autoSpaceDN w:val="0"/>
        <w:adjustRightInd w:val="0"/>
        <w:rPr>
          <w:i/>
          <w:iCs/>
          <w:szCs w:val="22"/>
        </w:rPr>
      </w:pPr>
      <w:r>
        <w:rPr>
          <w:iCs/>
          <w:szCs w:val="22"/>
        </w:rPr>
        <w:t>No formal studies of daratumumab in patients with hepatic impairment have been conducted.</w:t>
      </w:r>
    </w:p>
    <w:p w:rsidR="007E2BC7" w14:paraId="44D94498" w14:textId="77777777">
      <w:pPr>
        <w:autoSpaceDE w:val="0"/>
        <w:autoSpaceDN w:val="0"/>
        <w:adjustRightInd w:val="0"/>
        <w:rPr>
          <w:iCs/>
          <w:szCs w:val="22"/>
        </w:rPr>
      </w:pPr>
      <w:r>
        <w:t>Based on population PK analyses, no dose adjustments are necessary for patients with hepatic impairment (see section 5.2).</w:t>
      </w:r>
    </w:p>
    <w:p w:rsidR="007E2BC7" w14:paraId="5E295FEC" w14:textId="77777777">
      <w:pPr>
        <w:autoSpaceDE w:val="0"/>
        <w:autoSpaceDN w:val="0"/>
        <w:adjustRightInd w:val="0"/>
        <w:rPr>
          <w:szCs w:val="22"/>
        </w:rPr>
      </w:pPr>
    </w:p>
    <w:p w:rsidR="007E2BC7" w14:paraId="7451BF5E" w14:textId="77777777">
      <w:pPr>
        <w:keepNext/>
        <w:autoSpaceDE w:val="0"/>
        <w:autoSpaceDN w:val="0"/>
        <w:adjustRightInd w:val="0"/>
        <w:outlineLvl w:val="3"/>
        <w:rPr>
          <w:i/>
          <w:szCs w:val="22"/>
        </w:rPr>
      </w:pPr>
      <w:r>
        <w:rPr>
          <w:i/>
          <w:szCs w:val="22"/>
        </w:rPr>
        <w:t>Elderly</w:t>
      </w:r>
    </w:p>
    <w:p w:rsidR="007E2BC7" w14:paraId="7F2762CB" w14:textId="77777777">
      <w:pPr>
        <w:autoSpaceDE w:val="0"/>
        <w:autoSpaceDN w:val="0"/>
        <w:adjustRightInd w:val="0"/>
        <w:rPr>
          <w:szCs w:val="22"/>
        </w:rPr>
      </w:pPr>
      <w:r>
        <w:rPr>
          <w:szCs w:val="22"/>
        </w:rPr>
        <w:t>No dose adjustments are considered necessary (see section 5.2).</w:t>
      </w:r>
    </w:p>
    <w:p w:rsidR="007E2BC7" w14:paraId="25060A72" w14:textId="77777777">
      <w:pPr>
        <w:autoSpaceDE w:val="0"/>
        <w:autoSpaceDN w:val="0"/>
        <w:adjustRightInd w:val="0"/>
        <w:rPr>
          <w:szCs w:val="22"/>
        </w:rPr>
      </w:pPr>
    </w:p>
    <w:p w:rsidR="007E2BC7" w14:paraId="73CB8543" w14:textId="77777777">
      <w:pPr>
        <w:keepNext/>
        <w:outlineLvl w:val="3"/>
        <w:rPr>
          <w:bCs/>
          <w:i/>
          <w:iCs/>
          <w:szCs w:val="22"/>
        </w:rPr>
      </w:pPr>
      <w:r>
        <w:rPr>
          <w:bCs/>
          <w:i/>
          <w:iCs/>
          <w:szCs w:val="22"/>
        </w:rPr>
        <w:t>Paediatric population</w:t>
      </w:r>
    </w:p>
    <w:p w:rsidR="007E2BC7" w14:paraId="61C450FA" w14:textId="49CC6B38">
      <w:pPr>
        <w:autoSpaceDE w:val="0"/>
        <w:autoSpaceDN w:val="0"/>
        <w:adjustRightInd w:val="0"/>
        <w:rPr>
          <w:szCs w:val="22"/>
        </w:rPr>
      </w:pPr>
      <w:r>
        <w:rPr>
          <w:szCs w:val="22"/>
        </w:rPr>
        <w:t>DARZALEX</w:t>
      </w:r>
      <w:r w:rsidR="00A14273">
        <w:rPr>
          <w:szCs w:val="22"/>
        </w:rPr>
        <w:t xml:space="preserve"> is not indicated for children under 18 years old.</w:t>
      </w:r>
    </w:p>
    <w:p w:rsidR="007E2BC7" w14:paraId="4363678E" w14:textId="423A1324">
      <w:pPr>
        <w:autoSpaceDE w:val="0"/>
        <w:autoSpaceDN w:val="0"/>
        <w:adjustRightInd w:val="0"/>
        <w:rPr>
          <w:szCs w:val="22"/>
        </w:rPr>
      </w:pPr>
      <w:r>
        <w:rPr>
          <w:szCs w:val="22"/>
        </w:rPr>
        <w:t xml:space="preserve">The safety and efficacy of </w:t>
      </w:r>
      <w:r w:rsidR="00E65908">
        <w:rPr>
          <w:bCs/>
          <w:szCs w:val="22"/>
        </w:rPr>
        <w:t>DARZALEX</w:t>
      </w:r>
      <w:r>
        <w:rPr>
          <w:szCs w:val="22"/>
        </w:rPr>
        <w:t xml:space="preserve"> in children aged </w:t>
      </w:r>
      <w:r>
        <w:rPr>
          <w:bCs/>
          <w:szCs w:val="22"/>
        </w:rPr>
        <w:t>below 18 years of age</w:t>
      </w:r>
      <w:r>
        <w:rPr>
          <w:szCs w:val="22"/>
        </w:rPr>
        <w:t xml:space="preserve"> have not been established.</w:t>
      </w:r>
    </w:p>
    <w:p w:rsidR="007E2BC7" w14:paraId="5788792B" w14:textId="77777777">
      <w:r>
        <w:t>No data are available.</w:t>
      </w:r>
    </w:p>
    <w:p w:rsidR="007E2BC7" w14:paraId="299D4482" w14:textId="77777777"/>
    <w:p w:rsidR="007E2BC7" w14:paraId="1159F98F" w14:textId="77777777">
      <w:pPr>
        <w:keepNext/>
        <w:outlineLvl w:val="2"/>
        <w:rPr>
          <w:u w:val="single"/>
        </w:rPr>
      </w:pPr>
      <w:r>
        <w:rPr>
          <w:szCs w:val="22"/>
          <w:u w:val="single"/>
        </w:rPr>
        <w:t>Method of administration</w:t>
      </w:r>
    </w:p>
    <w:p w:rsidR="007E2BC7" w14:paraId="43C79D9E" w14:textId="48FD3713">
      <w:pPr>
        <w:rPr>
          <w:szCs w:val="22"/>
        </w:rPr>
      </w:pPr>
      <w:r>
        <w:rPr>
          <w:szCs w:val="22"/>
        </w:rPr>
        <w:t>DARZALEX</w:t>
      </w:r>
      <w:r w:rsidR="00A14273">
        <w:rPr>
          <w:szCs w:val="22"/>
        </w:rPr>
        <w:t xml:space="preserve"> is for intravenous use. It is administered as an intravenous infusion following dilution with </w:t>
      </w:r>
      <w:r w:rsidR="00A14273">
        <w:t>sodium chloride 9 mg/mL (0.9%) solution for injection</w:t>
      </w:r>
      <w:r w:rsidR="00A14273">
        <w:rPr>
          <w:szCs w:val="22"/>
        </w:rPr>
        <w:t>. For instructions on dilution of the medicinal product before administration, see section 6.6.</w:t>
      </w:r>
    </w:p>
    <w:p w:rsidR="007E2BC7" w14:paraId="5BF698DA" w14:textId="77777777">
      <w:pPr>
        <w:rPr>
          <w:szCs w:val="22"/>
        </w:rPr>
      </w:pPr>
    </w:p>
    <w:p w:rsidR="007E2BC7" w14:paraId="1E52D6F6" w14:textId="77777777">
      <w:pPr>
        <w:keepNext/>
        <w:ind w:left="567" w:hanging="567"/>
        <w:outlineLvl w:val="1"/>
        <w:rPr>
          <w:b/>
          <w:bCs/>
          <w:szCs w:val="22"/>
        </w:rPr>
      </w:pPr>
      <w:r>
        <w:rPr>
          <w:b/>
          <w:bCs/>
          <w:szCs w:val="22"/>
        </w:rPr>
        <w:t>4.3</w:t>
      </w:r>
      <w:r>
        <w:rPr>
          <w:b/>
          <w:bCs/>
          <w:szCs w:val="22"/>
        </w:rPr>
        <w:tab/>
        <w:t>Contraindications</w:t>
      </w:r>
    </w:p>
    <w:p w:rsidR="007E2BC7" w14:paraId="6B0D6731" w14:textId="77777777">
      <w:pPr>
        <w:keepNext/>
        <w:rPr>
          <w:szCs w:val="22"/>
        </w:rPr>
      </w:pPr>
    </w:p>
    <w:p w:rsidR="007E2BC7" w14:paraId="7C3CBC1B" w14:textId="77777777">
      <w:pPr>
        <w:rPr>
          <w:szCs w:val="22"/>
        </w:rPr>
      </w:pPr>
      <w:r>
        <w:rPr>
          <w:szCs w:val="22"/>
        </w:rPr>
        <w:t>Hypersensitivity to the active substance or to any of the excipients listed in section 6.1.</w:t>
      </w:r>
    </w:p>
    <w:p w:rsidR="007E2BC7" w14:paraId="41095B02" w14:textId="77777777">
      <w:pPr>
        <w:rPr>
          <w:szCs w:val="22"/>
        </w:rPr>
      </w:pPr>
    </w:p>
    <w:p w:rsidR="007E2BC7" w14:paraId="1EF537AA" w14:textId="77777777">
      <w:pPr>
        <w:keepNext/>
        <w:ind w:left="567" w:hanging="567"/>
        <w:outlineLvl w:val="1"/>
        <w:rPr>
          <w:b/>
          <w:bCs/>
          <w:szCs w:val="22"/>
        </w:rPr>
      </w:pPr>
      <w:bookmarkStart w:id="4" w:name="_Hlk80273636"/>
      <w:r>
        <w:rPr>
          <w:b/>
          <w:bCs/>
          <w:szCs w:val="22"/>
        </w:rPr>
        <w:t>4.4</w:t>
      </w:r>
      <w:r>
        <w:rPr>
          <w:b/>
          <w:bCs/>
          <w:szCs w:val="22"/>
        </w:rPr>
        <w:tab/>
        <w:t>Special warnings and precautions for use</w:t>
      </w:r>
    </w:p>
    <w:p w:rsidR="007E2BC7" w14:paraId="406549BA" w14:textId="77777777">
      <w:pPr>
        <w:keepNext/>
      </w:pPr>
    </w:p>
    <w:p w:rsidR="007E2BC7" w14:paraId="08CA3DAA" w14:textId="77777777">
      <w:pPr>
        <w:keepNext/>
      </w:pPr>
    </w:p>
    <w:p w:rsidR="007E2BC7" w14:paraId="51AC551C" w14:textId="77777777">
      <w:pPr>
        <w:keepNext/>
        <w:outlineLvl w:val="2"/>
        <w:rPr>
          <w:szCs w:val="22"/>
          <w:u w:val="single"/>
        </w:rPr>
      </w:pPr>
      <w:r>
        <w:rPr>
          <w:szCs w:val="22"/>
          <w:u w:val="single"/>
        </w:rPr>
        <w:t>Traceability</w:t>
      </w:r>
    </w:p>
    <w:p w:rsidR="007E2BC7" w14:paraId="5B49EF68" w14:textId="77777777">
      <w:pPr>
        <w:rPr>
          <w:szCs w:val="22"/>
        </w:rPr>
      </w:pPr>
      <w:r>
        <w:rPr>
          <w:szCs w:val="22"/>
        </w:rPr>
        <w:t>In order to improve the traceability of biological medicinal products, the name and the batch number of the administered product should be clearly recorded.</w:t>
      </w:r>
    </w:p>
    <w:p w:rsidR="007E2BC7" w14:paraId="3E7259A0" w14:textId="77777777">
      <w:pPr>
        <w:keepNext/>
        <w:outlineLvl w:val="2"/>
        <w:rPr>
          <w:szCs w:val="22"/>
          <w:u w:val="single"/>
        </w:rPr>
      </w:pPr>
    </w:p>
    <w:p w:rsidR="007E2BC7" w14:paraId="43E517BB" w14:textId="77777777">
      <w:pPr>
        <w:keepNext/>
        <w:outlineLvl w:val="2"/>
        <w:rPr>
          <w:szCs w:val="22"/>
          <w:u w:val="single"/>
        </w:rPr>
      </w:pPr>
    </w:p>
    <w:p w:rsidR="007E2BC7" w14:paraId="46CC3B26" w14:textId="77777777">
      <w:pPr>
        <w:keepNext/>
        <w:outlineLvl w:val="2"/>
        <w:rPr>
          <w:szCs w:val="22"/>
          <w:u w:val="single"/>
        </w:rPr>
      </w:pPr>
      <w:r>
        <w:rPr>
          <w:szCs w:val="22"/>
          <w:u w:val="single"/>
        </w:rPr>
        <w:t>Infusion</w:t>
      </w:r>
      <w:r>
        <w:rPr>
          <w:szCs w:val="22"/>
          <w:u w:val="single"/>
        </w:rPr>
        <w:noBreakHyphen/>
        <w:t>related reactions</w:t>
      </w:r>
    </w:p>
    <w:p w:rsidR="00263967" w14:paraId="1CDB7E8F" w14:textId="77777777">
      <w:pPr>
        <w:keepNext/>
        <w:outlineLvl w:val="2"/>
        <w:rPr>
          <w:szCs w:val="22"/>
          <w:u w:val="single"/>
        </w:rPr>
      </w:pPr>
    </w:p>
    <w:p w:rsidR="007E2BC7" w14:paraId="2405EEF5" w14:textId="3536BC6E">
      <w:pPr>
        <w:rPr>
          <w:szCs w:val="22"/>
        </w:rPr>
      </w:pPr>
      <w:r>
        <w:t>DARZALEX</w:t>
      </w:r>
      <w:r w:rsidR="00A14273">
        <w:t xml:space="preserve"> can cause serious IRRs, including anaphylactic reactions (see</w:t>
      </w:r>
      <w:r w:rsidR="00A14273">
        <w:rPr>
          <w:szCs w:val="22"/>
        </w:rPr>
        <w:t xml:space="preserve"> </w:t>
      </w:r>
      <w:bookmarkStart w:id="5" w:name="_Hlk507587191"/>
      <w:r w:rsidR="00A14273">
        <w:rPr>
          <w:szCs w:val="22"/>
        </w:rPr>
        <w:t>section 4.8).</w:t>
      </w:r>
      <w:bookmarkEnd w:id="5"/>
      <w:r w:rsidR="00A14273">
        <w:t xml:space="preserve"> These </w:t>
      </w:r>
      <w:r w:rsidR="00A14273">
        <w:rPr>
          <w:lang w:val="en-US"/>
        </w:rPr>
        <w:t>reactions can be life-threatening and fatal outcomes have been reported.</w:t>
      </w:r>
    </w:p>
    <w:p w:rsidR="007E2BC7" w14:paraId="12ACF1CB" w14:textId="77777777"/>
    <w:bookmarkEnd w:id="4"/>
    <w:p w:rsidR="007E2BC7" w14:paraId="0FC4A27C" w14:textId="77777777">
      <w:r>
        <w:t>All patients should be monitored throughout the infusion for IRRs. For patients that experience any</w:t>
      </w:r>
      <w:r>
        <w:rPr>
          <w:szCs w:val="22"/>
        </w:rPr>
        <w:t xml:space="preserve"> </w:t>
      </w:r>
      <w:r>
        <w:t>grade IRRs, continue monitoring post-infusion until symptoms resolve.</w:t>
      </w:r>
    </w:p>
    <w:p w:rsidR="007E2BC7" w14:paraId="059A2932" w14:textId="77777777">
      <w:pPr>
        <w:rPr>
          <w:szCs w:val="22"/>
        </w:rPr>
      </w:pPr>
    </w:p>
    <w:p w:rsidR="007E2BC7" w14:paraId="062B14D8" w14:textId="0BC47D24">
      <w:pPr>
        <w:rPr>
          <w:szCs w:val="22"/>
        </w:rPr>
      </w:pPr>
      <w:r>
        <w:t xml:space="preserve">In clinical studies, </w:t>
      </w:r>
      <w:r>
        <w:rPr>
          <w:szCs w:val="22"/>
        </w:rPr>
        <w:t xml:space="preserve">IRRs were reported in approximately half of all patients treated with </w:t>
      </w:r>
      <w:r w:rsidR="00E65908">
        <w:rPr>
          <w:szCs w:val="22"/>
        </w:rPr>
        <w:t>DARZALEX</w:t>
      </w:r>
      <w:r>
        <w:rPr>
          <w:szCs w:val="22"/>
        </w:rPr>
        <w:t>.</w:t>
      </w:r>
    </w:p>
    <w:p w:rsidR="007E2BC7" w14:paraId="3DCB665B" w14:textId="77777777">
      <w:pPr>
        <w:rPr>
          <w:szCs w:val="22"/>
        </w:rPr>
      </w:pPr>
    </w:p>
    <w:p w:rsidR="007E2BC7" w:rsidRPr="001975B2" w14:paraId="3F227A44" w14:textId="43F26F5F">
      <w:pPr>
        <w:rPr>
          <w:szCs w:val="22"/>
        </w:rPr>
      </w:pPr>
      <w:r w:rsidRPr="001975B2">
        <w:rPr>
          <w:szCs w:val="22"/>
        </w:rPr>
        <w:t>The majority of IRRs occurred at the first infusion</w:t>
      </w:r>
      <w:r w:rsidRPr="001975B2">
        <w:t xml:space="preserve"> and were grade</w:t>
      </w:r>
      <w:r w:rsidRPr="001975B2">
        <w:rPr>
          <w:szCs w:val="22"/>
        </w:rPr>
        <w:t> </w:t>
      </w:r>
      <w:r w:rsidRPr="001975B2">
        <w:t>1-2 (see section</w:t>
      </w:r>
      <w:r w:rsidRPr="001975B2">
        <w:rPr>
          <w:szCs w:val="22"/>
        </w:rPr>
        <w:t> </w:t>
      </w:r>
      <w:r w:rsidRPr="001975B2">
        <w:t>4.8</w:t>
      </w:r>
      <w:r w:rsidRPr="001975B2">
        <w:rPr>
          <w:szCs w:val="22"/>
        </w:rPr>
        <w:t xml:space="preserve">). Four percent of all patients had an IRR at more than one infusion. </w:t>
      </w:r>
      <w:r w:rsidRPr="001975B2">
        <w:t>Severe reactions have occurred, including bronchospasm, hypoxia, dyspnoea, hypertension, laryngeal oedema</w:t>
      </w:r>
      <w:r w:rsidRPr="001975B2" w:rsidR="00BE5B9E">
        <w:t>,</w:t>
      </w:r>
      <w:r w:rsidRPr="001975B2">
        <w:t xml:space="preserve"> pulmonary oedema</w:t>
      </w:r>
      <w:r w:rsidRPr="001975B2" w:rsidR="00C65781">
        <w:rPr>
          <w:szCs w:val="22"/>
        </w:rPr>
        <w:t xml:space="preserve"> and ocular adverse reactions (including choroidal effusion, acute myopia and acute angle closure glaucoma)</w:t>
      </w:r>
      <w:r w:rsidRPr="001975B2">
        <w:rPr>
          <w:szCs w:val="22"/>
        </w:rPr>
        <w:t xml:space="preserve">. Symptoms predominantly included nasal congestion, cough, throat irritation, chills, vomiting and nausea. </w:t>
      </w:r>
      <w:r w:rsidRPr="001975B2">
        <w:t>Less common symptoms were wheezing, allergic rhinitis, pyrexia, chest discomfort, pruritus</w:t>
      </w:r>
      <w:r w:rsidRPr="001975B2" w:rsidR="00C65781">
        <w:t>,</w:t>
      </w:r>
      <w:r w:rsidRPr="001975B2">
        <w:t xml:space="preserve"> hypotension </w:t>
      </w:r>
      <w:r w:rsidRPr="001975B2" w:rsidR="00C65781">
        <w:t xml:space="preserve">and blurred vision </w:t>
      </w:r>
      <w:r w:rsidRPr="001975B2">
        <w:rPr>
          <w:szCs w:val="22"/>
        </w:rPr>
        <w:t>(see section 4.8).</w:t>
      </w:r>
    </w:p>
    <w:p w:rsidR="007E2BC7" w:rsidRPr="001975B2" w14:paraId="28B947F0" w14:textId="77777777">
      <w:pPr>
        <w:rPr>
          <w:szCs w:val="22"/>
        </w:rPr>
      </w:pPr>
    </w:p>
    <w:p w:rsidR="007E2BC7" w14:paraId="670995BB" w14:textId="5C0A74EB">
      <w:pPr>
        <w:rPr>
          <w:szCs w:val="22"/>
        </w:rPr>
      </w:pPr>
      <w:r w:rsidRPr="001975B2">
        <w:rPr>
          <w:szCs w:val="22"/>
        </w:rPr>
        <w:t>Patients should be pre</w:t>
      </w:r>
      <w:r>
        <w:rPr>
          <w:szCs w:val="22"/>
        </w:rPr>
        <w:noBreakHyphen/>
        <w:t xml:space="preserve">medicated with antihistamines, antipyretics and corticosteroids to reduce the risk of </w:t>
      </w:r>
      <w:r>
        <w:t xml:space="preserve">IRRs prior to treatment with </w:t>
      </w:r>
      <w:r w:rsidR="00E65908">
        <w:t>DARZALEX</w:t>
      </w:r>
      <w:r>
        <w:t xml:space="preserve">. </w:t>
      </w:r>
      <w:r w:rsidR="00E65908">
        <w:t>DARZALEX</w:t>
      </w:r>
      <w:r w:rsidR="00BE5B9E">
        <w:t>.</w:t>
      </w:r>
      <w:r>
        <w:t xml:space="preserve"> infusion should be interrupted for</w:t>
      </w:r>
      <w:r>
        <w:rPr>
          <w:szCs w:val="22"/>
        </w:rPr>
        <w:t xml:space="preserve"> IRRs of any severity</w:t>
      </w:r>
      <w:r>
        <w:t xml:space="preserve"> and</w:t>
      </w:r>
      <w:r>
        <w:rPr>
          <w:szCs w:val="22"/>
        </w:rPr>
        <w:t xml:space="preserve"> medical management/supportive treatment for IRRs should be instituted as needed. </w:t>
      </w:r>
      <w:r>
        <w:t>For patients with grade</w:t>
      </w:r>
      <w:r>
        <w:rPr>
          <w:szCs w:val="22"/>
        </w:rPr>
        <w:t> </w:t>
      </w:r>
      <w:r>
        <w:t xml:space="preserve">1, 2, or 3 IRRs, </w:t>
      </w:r>
      <w:r>
        <w:rPr>
          <w:szCs w:val="22"/>
        </w:rPr>
        <w:t>the infusion rate should be reduced when re</w:t>
      </w:r>
      <w:r>
        <w:rPr>
          <w:szCs w:val="22"/>
        </w:rPr>
        <w:noBreakHyphen/>
        <w:t xml:space="preserve">starting the infusion. </w:t>
      </w:r>
      <w:r>
        <w:t>If an anaphylactic reaction or life</w:t>
      </w:r>
      <w:r>
        <w:rPr>
          <w:szCs w:val="22"/>
        </w:rPr>
        <w:noBreakHyphen/>
      </w:r>
      <w:r>
        <w:t>threatening (grade</w:t>
      </w:r>
      <w:r>
        <w:rPr>
          <w:szCs w:val="22"/>
        </w:rPr>
        <w:t> </w:t>
      </w:r>
      <w:r>
        <w:t xml:space="preserve">4) infusion reaction occurs, appropriate emergency resuscitation should be initiated immediately. </w:t>
      </w:r>
      <w:r w:rsidR="00E65908">
        <w:t>DARZALEX</w:t>
      </w:r>
      <w:r w:rsidR="00BE5B9E">
        <w:t>.</w:t>
      </w:r>
      <w:r>
        <w:rPr>
          <w:szCs w:val="22"/>
        </w:rPr>
        <w:t xml:space="preserve"> </w:t>
      </w:r>
      <w:r>
        <w:t>therapy should be discontinued immediately and permanently</w:t>
      </w:r>
      <w:r>
        <w:rPr>
          <w:szCs w:val="22"/>
        </w:rPr>
        <w:t xml:space="preserve"> (see sections 4.2 and 4.3).</w:t>
      </w:r>
    </w:p>
    <w:p w:rsidR="007E2BC7" w14:paraId="75C21513" w14:textId="77777777">
      <w:pPr>
        <w:rPr>
          <w:szCs w:val="22"/>
        </w:rPr>
      </w:pPr>
    </w:p>
    <w:p w:rsidR="007E2BC7" w14:paraId="31AF7A8E" w14:textId="4886EAFF">
      <w:pPr>
        <w:rPr>
          <w:szCs w:val="22"/>
        </w:rPr>
      </w:pPr>
      <w:r w:rsidRPr="001975B2">
        <w:rPr>
          <w:szCs w:val="22"/>
        </w:rPr>
        <w:t xml:space="preserve">To reduce the risk of delayed IRRs, oral corticosteroids should be administered to all patients </w:t>
      </w:r>
      <w:r w:rsidRPr="001975B2">
        <w:t xml:space="preserve">following </w:t>
      </w:r>
      <w:r w:rsidR="00E65908">
        <w:t>DARZALEX</w:t>
      </w:r>
      <w:r w:rsidRPr="001975B2">
        <w:t xml:space="preserve"> infusions</w:t>
      </w:r>
      <w:r w:rsidRPr="001975B2">
        <w:rPr>
          <w:szCs w:val="22"/>
        </w:rPr>
        <w:t>. Additionally the use of post</w:t>
      </w:r>
      <w:r w:rsidRPr="001975B2">
        <w:rPr>
          <w:szCs w:val="22"/>
        </w:rPr>
        <w:noBreakHyphen/>
        <w:t xml:space="preserve">infusion medicinal products  (e.g. inhaled corticosteroids, short and long acting bronchodilators) should be considered for patients with a history of chronic obstructive pulmonary disease to manage respiratory complications should they occur </w:t>
      </w:r>
      <w:r w:rsidRPr="001975B2" w:rsidR="00C65781">
        <w:t xml:space="preserve">If ocular symptoms occur, interrupt </w:t>
      </w:r>
      <w:r w:rsidR="00E65908">
        <w:rPr>
          <w:lang w:val="en-US"/>
        </w:rPr>
        <w:t>DARZALEX</w:t>
      </w:r>
      <w:r w:rsidRPr="001975B2" w:rsidR="00BE5B9E">
        <w:t xml:space="preserve">. </w:t>
      </w:r>
      <w:r w:rsidRPr="001975B2" w:rsidR="00C65781">
        <w:t xml:space="preserve">infusion and seek immediate ophthalmologic evaluation prior to restarting </w:t>
      </w:r>
      <w:r w:rsidR="00E65908">
        <w:t>DARZALEX</w:t>
      </w:r>
      <w:r w:rsidRPr="001975B2" w:rsidR="00BE5B9E">
        <w:t xml:space="preserve">. </w:t>
      </w:r>
      <w:r w:rsidRPr="001975B2" w:rsidR="00C65781">
        <w:rPr>
          <w:szCs w:val="22"/>
        </w:rPr>
        <w:t xml:space="preserve"> </w:t>
      </w:r>
      <w:r w:rsidRPr="001975B2">
        <w:rPr>
          <w:szCs w:val="22"/>
        </w:rPr>
        <w:t>(see</w:t>
      </w:r>
      <w:r>
        <w:rPr>
          <w:szCs w:val="22"/>
        </w:rPr>
        <w:t xml:space="preserve"> section 4.2).</w:t>
      </w:r>
    </w:p>
    <w:p w:rsidR="007E2BC7" w14:paraId="33FD6EC8" w14:textId="77777777">
      <w:pPr>
        <w:rPr>
          <w:szCs w:val="22"/>
        </w:rPr>
      </w:pPr>
    </w:p>
    <w:p w:rsidR="007E2BC7" w14:paraId="1C8FB64A" w14:textId="77777777">
      <w:pPr>
        <w:keepNext/>
        <w:outlineLvl w:val="2"/>
        <w:rPr>
          <w:u w:val="single"/>
        </w:rPr>
      </w:pPr>
      <w:r>
        <w:rPr>
          <w:u w:val="single"/>
        </w:rPr>
        <w:t>Neutropenia/thrombocytopenia</w:t>
      </w:r>
    </w:p>
    <w:p w:rsidR="007E2BC7" w14:paraId="5051013C" w14:textId="7AF223C8">
      <w:pPr>
        <w:rPr>
          <w:szCs w:val="22"/>
        </w:rPr>
      </w:pPr>
      <w:r>
        <w:rPr>
          <w:szCs w:val="22"/>
        </w:rPr>
        <w:t>DARZALEX</w:t>
      </w:r>
      <w:r w:rsidR="00A14273">
        <w:rPr>
          <w:szCs w:val="22"/>
        </w:rPr>
        <w:t xml:space="preserve"> may increase neutropenia and thrombocytopenia induced by background therapy </w:t>
      </w:r>
      <w:r w:rsidR="00A14273">
        <w:t>(see section 4.8).</w:t>
      </w:r>
    </w:p>
    <w:p w:rsidR="007E2BC7" w14:paraId="4EA93828" w14:textId="4218AD7B">
      <w:pPr>
        <w:rPr>
          <w:szCs w:val="22"/>
        </w:rPr>
      </w:pPr>
      <w:r>
        <w:rPr>
          <w:szCs w:val="22"/>
        </w:rPr>
        <w:t xml:space="preserve">Complete blood cell counts should be monitored periodically during treatment according to  prescribing information for background therapies. Patients with neutropenia should be monitored for signs of infection. </w:t>
      </w:r>
      <w:r w:rsidR="00E65908">
        <w:rPr>
          <w:szCs w:val="22"/>
        </w:rPr>
        <w:t>DARZALEX</w:t>
      </w:r>
      <w:r>
        <w:rPr>
          <w:szCs w:val="22"/>
        </w:rPr>
        <w:t xml:space="preserve"> delay may be required to allow recovery of blood cell counts. No dose reduction of </w:t>
      </w:r>
      <w:r w:rsidR="00E65908">
        <w:rPr>
          <w:szCs w:val="22"/>
        </w:rPr>
        <w:t>DARZALEX</w:t>
      </w:r>
      <w:r>
        <w:rPr>
          <w:szCs w:val="22"/>
        </w:rPr>
        <w:t xml:space="preserve"> is recommended. Consider supportive care with transfusions or growth factors.</w:t>
      </w:r>
    </w:p>
    <w:p w:rsidR="00797802" w14:paraId="6DC772F3" w14:textId="77777777">
      <w:pPr>
        <w:rPr>
          <w:szCs w:val="22"/>
        </w:rPr>
      </w:pPr>
    </w:p>
    <w:p w:rsidR="00797802" w:rsidRPr="00BF56D5" w:rsidP="00797802" w14:paraId="2A7EC49F" w14:textId="77777777">
      <w:pPr>
        <w:keepNext/>
        <w:tabs>
          <w:tab w:val="clear" w:pos="567"/>
        </w:tabs>
        <w:rPr>
          <w:szCs w:val="22"/>
          <w:u w:val="single"/>
        </w:rPr>
      </w:pPr>
      <w:r w:rsidRPr="00BF56D5">
        <w:rPr>
          <w:szCs w:val="22"/>
          <w:u w:val="single"/>
        </w:rPr>
        <w:t>Infections</w:t>
      </w:r>
    </w:p>
    <w:p w:rsidR="00797802" w:rsidRPr="00BF56D5" w:rsidP="00797802" w14:paraId="5C49C9C6" w14:textId="77777777">
      <w:pPr>
        <w:keepNext/>
        <w:tabs>
          <w:tab w:val="clear" w:pos="567"/>
        </w:tabs>
        <w:rPr>
          <w:szCs w:val="22"/>
          <w:u w:val="single"/>
        </w:rPr>
      </w:pPr>
    </w:p>
    <w:p w:rsidR="00797802" w:rsidRPr="00BF56D5" w:rsidP="00797802" w14:paraId="15CE8BBF" w14:textId="77777777">
      <w:pPr>
        <w:keepNext/>
        <w:tabs>
          <w:tab w:val="clear" w:pos="567"/>
        </w:tabs>
        <w:rPr>
          <w:szCs w:val="22"/>
        </w:rPr>
      </w:pPr>
      <w:r w:rsidRPr="00BF56D5">
        <w:rPr>
          <w:szCs w:val="22"/>
        </w:rPr>
        <w:t>DARZALEX can cause serious, life-threatening, or fatal infections (see section 4.8).</w:t>
      </w:r>
    </w:p>
    <w:p w:rsidR="00797802" w:rsidRPr="00BF56D5" w:rsidP="00797802" w14:paraId="2FD3D78F" w14:textId="77777777">
      <w:pPr>
        <w:tabs>
          <w:tab w:val="clear" w:pos="567"/>
        </w:tabs>
        <w:rPr>
          <w:szCs w:val="22"/>
        </w:rPr>
      </w:pPr>
    </w:p>
    <w:p w:rsidR="00797802" w:rsidRPr="0071688B" w:rsidP="00797802" w14:paraId="6D015320" w14:textId="77777777">
      <w:pPr>
        <w:tabs>
          <w:tab w:val="clear" w:pos="567"/>
        </w:tabs>
        <w:rPr>
          <w:szCs w:val="22"/>
        </w:rPr>
      </w:pPr>
      <w:r w:rsidRPr="00BF56D5">
        <w:rPr>
          <w:szCs w:val="22"/>
        </w:rPr>
        <w:t>Patients should be closely monitored for signs and symptoms of infection prior to and during treatment with DARZALEX and treated appropriately. Prophylactic antimicrobials according to treatment guidelines should be considered prior to, during or post-treatment (see section 4.2).</w:t>
      </w:r>
    </w:p>
    <w:p w:rsidR="00797802" w14:paraId="4369F639" w14:textId="77777777">
      <w:pPr>
        <w:rPr>
          <w:szCs w:val="22"/>
        </w:rPr>
      </w:pPr>
    </w:p>
    <w:p w:rsidR="007E2BC7" w14:paraId="4CDC3CCF" w14:textId="77777777"/>
    <w:p w:rsidR="007E2BC7" w14:paraId="3815A8B7" w14:textId="77777777">
      <w:pPr>
        <w:keepNext/>
        <w:outlineLvl w:val="2"/>
        <w:rPr>
          <w:szCs w:val="22"/>
          <w:u w:val="single"/>
        </w:rPr>
      </w:pPr>
      <w:r>
        <w:rPr>
          <w:szCs w:val="22"/>
          <w:u w:val="single"/>
        </w:rPr>
        <w:t>Interference with indirect antiglobulin test (indirect Coombs test)</w:t>
      </w:r>
    </w:p>
    <w:p w:rsidR="007E2BC7" w14:paraId="31F65451" w14:textId="77777777">
      <w:pPr>
        <w:rPr>
          <w:szCs w:val="22"/>
        </w:rPr>
      </w:pPr>
      <w:r>
        <w:rPr>
          <w:szCs w:val="22"/>
        </w:rPr>
        <w:t>Daratumumab binds to CD38 found at low levels on red blood cells (RBCs) and may result in a positive indirect Coombs test. Daratumumab</w:t>
      </w:r>
      <w:r>
        <w:rPr>
          <w:szCs w:val="22"/>
        </w:rPr>
        <w:noBreakHyphen/>
        <w:t>mediated positive indirect Coombs test may persist for up to 6 months after the last daratumumab infusion. It should be recognised that daratumumab bound to RBCs may mask detection of antibodies to minor antigens in the patient’s serum. The determination of a patient’s ABO and Rh blood type are not impacted.</w:t>
      </w:r>
    </w:p>
    <w:p w:rsidR="007E2BC7" w14:paraId="520D671D" w14:textId="77777777">
      <w:pPr>
        <w:rPr>
          <w:szCs w:val="22"/>
        </w:rPr>
      </w:pPr>
    </w:p>
    <w:p w:rsidR="007E2BC7" w14:paraId="6739AC82" w14:textId="77777777">
      <w:pPr>
        <w:rPr>
          <w:szCs w:val="22"/>
        </w:rPr>
      </w:pPr>
      <w:r>
        <w:rPr>
          <w:szCs w:val="22"/>
        </w:rPr>
        <w:t xml:space="preserve">Patients should be typed and screened prior to starting daratumumab treatment. </w:t>
      </w:r>
      <w:r>
        <w:t>Phenotyping may be considered prior to starting daratumumab treatment as per local practice. Red blood cell genotyping is not impacted by daratumumab and may be performed at any time.</w:t>
      </w:r>
    </w:p>
    <w:p w:rsidR="007E2BC7" w14:paraId="2A9BE36D" w14:textId="77777777">
      <w:pPr>
        <w:rPr>
          <w:szCs w:val="22"/>
        </w:rPr>
      </w:pPr>
    </w:p>
    <w:p w:rsidR="007E2BC7" w14:paraId="39708B2A" w14:textId="77777777">
      <w:pPr>
        <w:rPr>
          <w:szCs w:val="22"/>
        </w:rPr>
      </w:pPr>
      <w:r>
        <w:rPr>
          <w:szCs w:val="22"/>
        </w:rPr>
        <w:t>In the event of a planned transfusion blood transfusion centres should be notified of this interference with indirect antiglobulin tests (see section 4.5). If an emergency transfusion is required, non</w:t>
      </w:r>
      <w:r>
        <w:rPr>
          <w:szCs w:val="22"/>
        </w:rPr>
        <w:noBreakHyphen/>
        <w:t>cross</w:t>
      </w:r>
      <w:r>
        <w:rPr>
          <w:szCs w:val="22"/>
        </w:rPr>
        <w:noBreakHyphen/>
        <w:t>matched ABO/RhD</w:t>
      </w:r>
      <w:r>
        <w:rPr>
          <w:szCs w:val="22"/>
        </w:rPr>
        <w:noBreakHyphen/>
        <w:t>compatible RBCs can be given per local blood bank practices.</w:t>
      </w:r>
    </w:p>
    <w:p w:rsidR="007E2BC7" w14:paraId="2D97976F" w14:textId="77777777">
      <w:pPr>
        <w:rPr>
          <w:szCs w:val="22"/>
        </w:rPr>
      </w:pPr>
    </w:p>
    <w:p w:rsidR="007E2BC7" w14:paraId="2B995A9D" w14:textId="77777777">
      <w:pPr>
        <w:keepNext/>
        <w:outlineLvl w:val="2"/>
        <w:rPr>
          <w:szCs w:val="22"/>
          <w:u w:val="single"/>
        </w:rPr>
      </w:pPr>
      <w:r>
        <w:rPr>
          <w:szCs w:val="22"/>
          <w:u w:val="single"/>
        </w:rPr>
        <w:t>Interference with determination of complete response</w:t>
      </w:r>
    </w:p>
    <w:p w:rsidR="007E2BC7" w14:paraId="3535F1FB" w14:textId="77777777">
      <w:pPr>
        <w:rPr>
          <w:szCs w:val="22"/>
        </w:rPr>
      </w:pPr>
      <w:r>
        <w:rPr>
          <w:szCs w:val="22"/>
        </w:rPr>
        <w:t>Daratumumab is a human IgG kappa monoclonal antibody that can be detected on both, the serum protein electrophoresis (SPE) and immunofixation (IFE) assays used for the clinical monitoring of endogenous M</w:t>
      </w:r>
      <w:r>
        <w:rPr>
          <w:szCs w:val="22"/>
        </w:rPr>
        <w:noBreakHyphen/>
        <w:t>protein (see section 4.5). This interference can impact the determination of complete response and of disease progression in some patients with IgG kappa myeloma protein.</w:t>
      </w:r>
    </w:p>
    <w:p w:rsidR="007E2BC7" w14:paraId="719105D1" w14:textId="77777777">
      <w:pPr>
        <w:rPr>
          <w:szCs w:val="22"/>
        </w:rPr>
      </w:pPr>
    </w:p>
    <w:p w:rsidR="007E2BC7" w14:paraId="639928BF" w14:textId="77777777">
      <w:pPr>
        <w:keepNext/>
        <w:outlineLvl w:val="2"/>
        <w:rPr>
          <w:u w:val="single"/>
        </w:rPr>
      </w:pPr>
      <w:bookmarkStart w:id="6" w:name="_Toc531165405"/>
      <w:r>
        <w:rPr>
          <w:u w:val="single"/>
        </w:rPr>
        <w:t>Hepatitis B virus (HBV) reactivation</w:t>
      </w:r>
      <w:bookmarkEnd w:id="6"/>
    </w:p>
    <w:p w:rsidR="007E2BC7" w14:paraId="05BD111D" w14:textId="4B0D3A6D">
      <w:pPr>
        <w:rPr>
          <w:szCs w:val="22"/>
        </w:rPr>
      </w:pPr>
      <w:r>
        <w:rPr>
          <w:szCs w:val="22"/>
        </w:rPr>
        <w:t xml:space="preserve">Hepatitis B virus reactivation, in some cases fatal, has been reported in patients treated with </w:t>
      </w:r>
      <w:r w:rsidR="00E65908">
        <w:t>DARZALEX</w:t>
      </w:r>
      <w:r>
        <w:rPr>
          <w:szCs w:val="22"/>
        </w:rPr>
        <w:t>. HBV screening should be performed in all patients before initiation of treatment with</w:t>
      </w:r>
      <w:r>
        <w:t xml:space="preserve"> </w:t>
      </w:r>
      <w:r w:rsidR="00E65908">
        <w:t>DARZALEX</w:t>
      </w:r>
      <w:r>
        <w:rPr>
          <w:szCs w:val="22"/>
        </w:rPr>
        <w:t>.</w:t>
      </w:r>
    </w:p>
    <w:p w:rsidR="007E2BC7" w14:paraId="41464453" w14:textId="5587578A">
      <w:pPr>
        <w:rPr>
          <w:szCs w:val="22"/>
        </w:rPr>
      </w:pPr>
      <w:r>
        <w:rPr>
          <w:szCs w:val="22"/>
        </w:rPr>
        <w:t xml:space="preserve">For patients with evidence of positive HBV serology, monitor for clinical and laboratory signs of HBV reactivation during, and for at least six months following the end of </w:t>
      </w:r>
      <w:r w:rsidR="00E65908">
        <w:t>DARZALEX</w:t>
      </w:r>
      <w:r>
        <w:rPr>
          <w:szCs w:val="22"/>
        </w:rPr>
        <w:t xml:space="preserve"> treatment. Manage patients according to current clinical guidelines. Consider consulting a hepatitis disease expert as clinically indicated.</w:t>
      </w:r>
    </w:p>
    <w:p w:rsidR="007E2BC7" w14:paraId="3FB8063C" w14:textId="29316E9B">
      <w:pPr>
        <w:rPr>
          <w:szCs w:val="22"/>
        </w:rPr>
      </w:pPr>
      <w:r>
        <w:rPr>
          <w:szCs w:val="22"/>
        </w:rPr>
        <w:t xml:space="preserve">In patients who develop reactivation of HBV while on </w:t>
      </w:r>
      <w:r w:rsidR="00E65908">
        <w:t>DARZALEX</w:t>
      </w:r>
      <w:r>
        <w:rPr>
          <w:szCs w:val="22"/>
        </w:rPr>
        <w:t xml:space="preserve">, suspend treatment with </w:t>
      </w:r>
      <w:r w:rsidR="00E65908">
        <w:t>DARZALEX</w:t>
      </w:r>
      <w:r>
        <w:t xml:space="preserve"> and institute appropriate treatment.</w:t>
      </w:r>
      <w:r>
        <w:rPr>
          <w:szCs w:val="22"/>
        </w:rPr>
        <w:t xml:space="preserve"> Resumption of </w:t>
      </w:r>
      <w:r w:rsidR="00E65908">
        <w:t>DARZALEX</w:t>
      </w:r>
      <w:r>
        <w:rPr>
          <w:szCs w:val="22"/>
        </w:rPr>
        <w:t xml:space="preserve"> treatment in patients whose HBV reactivation is adequately controlled should be discussed with physicians with expertise in managing HBV.</w:t>
      </w:r>
    </w:p>
    <w:p w:rsidR="007E2BC7" w14:paraId="11D3FCB9" w14:textId="77777777">
      <w:pPr>
        <w:rPr>
          <w:szCs w:val="22"/>
        </w:rPr>
      </w:pPr>
    </w:p>
    <w:p w:rsidR="007E2BC7" w:rsidRPr="008536F6" w14:paraId="0C92FF48" w14:textId="77777777">
      <w:pPr>
        <w:keepNext/>
        <w:outlineLvl w:val="2"/>
        <w:rPr>
          <w:szCs w:val="22"/>
          <w:u w:val="single"/>
          <w:rtl/>
          <w:lang w:bidi="he-IL"/>
        </w:rPr>
      </w:pPr>
      <w:r w:rsidRPr="008536F6">
        <w:rPr>
          <w:szCs w:val="22"/>
          <w:u w:val="single"/>
        </w:rPr>
        <w:t>Excipients</w:t>
      </w:r>
    </w:p>
    <w:p w:rsidR="001B3A36" w:rsidRPr="00D635A1" w14:paraId="16B25512" w14:textId="6DFE608E">
      <w:pPr>
        <w:keepNext/>
        <w:outlineLvl w:val="2"/>
        <w:rPr>
          <w:szCs w:val="22"/>
          <w:u w:val="single"/>
          <w:lang w:bidi="he-IL"/>
        </w:rPr>
      </w:pPr>
      <w:r w:rsidRPr="00D635A1">
        <w:t>This medicinal product contains sorbitol. Patients with hereditary fructose intolerance (HFI) must not be given this medicinal product unless strictly necessary</w:t>
      </w:r>
      <w:r w:rsidRPr="00D635A1">
        <w:rPr>
          <w:rFonts w:hint="cs"/>
          <w:rtl/>
          <w:lang w:bidi="he-IL"/>
        </w:rPr>
        <w:t>.</w:t>
      </w:r>
    </w:p>
    <w:p w:rsidR="007E2BC7" w:rsidRPr="00D635A1" w14:paraId="7E5817DD" w14:textId="7F097E48">
      <w:pPr>
        <w:rPr>
          <w:rtl/>
          <w:lang w:bidi="he-IL"/>
        </w:rPr>
      </w:pPr>
    </w:p>
    <w:p w:rsidR="001B3A36" w:rsidRPr="00D635A1" w14:paraId="7ADCC28B" w14:textId="77777777">
      <w:pPr>
        <w:rPr>
          <w:rtl/>
          <w:lang w:bidi="he-IL"/>
        </w:rPr>
      </w:pPr>
    </w:p>
    <w:p w:rsidR="001B3A36" w:rsidRPr="008536F6" w:rsidP="001B3A36" w14:paraId="0C1A8374" w14:textId="77777777">
      <w:pPr>
        <w:rPr>
          <w:iCs/>
          <w:szCs w:val="22"/>
        </w:rPr>
      </w:pPr>
      <w:r w:rsidRPr="00D635A1">
        <w:t>A detailed history with regard to HFI symptoms has to be taken of each patient prior to being given this medicinal product.</w:t>
      </w:r>
    </w:p>
    <w:p w:rsidR="007E2BC7" w:rsidRPr="008536F6" w14:paraId="149867A8" w14:textId="77777777"/>
    <w:p w:rsidR="007E2BC7" w14:paraId="35CD60F0" w14:textId="77777777">
      <w:pPr>
        <w:keepNext/>
        <w:ind w:left="567" w:hanging="567"/>
        <w:outlineLvl w:val="1"/>
        <w:rPr>
          <w:b/>
          <w:bCs/>
          <w:szCs w:val="22"/>
        </w:rPr>
      </w:pPr>
      <w:r w:rsidRPr="008536F6">
        <w:rPr>
          <w:b/>
          <w:bCs/>
          <w:szCs w:val="22"/>
        </w:rPr>
        <w:t>4.5</w:t>
      </w:r>
      <w:r w:rsidRPr="008536F6">
        <w:rPr>
          <w:b/>
          <w:bCs/>
          <w:szCs w:val="22"/>
        </w:rPr>
        <w:tab/>
        <w:t>Interaction</w:t>
      </w:r>
      <w:r>
        <w:rPr>
          <w:b/>
          <w:bCs/>
          <w:szCs w:val="22"/>
        </w:rPr>
        <w:t xml:space="preserve"> with other medicinal products and other forms of interaction</w:t>
      </w:r>
    </w:p>
    <w:p w:rsidR="007E2BC7" w14:paraId="230CA6EA" w14:textId="77777777">
      <w:pPr>
        <w:keepNext/>
        <w:rPr>
          <w:szCs w:val="22"/>
        </w:rPr>
      </w:pPr>
    </w:p>
    <w:p w:rsidR="007E2BC7" w14:paraId="376C1CAD" w14:textId="77777777">
      <w:pPr>
        <w:rPr>
          <w:szCs w:val="22"/>
        </w:rPr>
      </w:pPr>
      <w:r>
        <w:rPr>
          <w:szCs w:val="22"/>
        </w:rPr>
        <w:t>No interaction studies have been performed.</w:t>
      </w:r>
    </w:p>
    <w:p w:rsidR="007E2BC7" w14:paraId="4994DF21" w14:textId="77777777">
      <w:pPr>
        <w:rPr>
          <w:szCs w:val="22"/>
        </w:rPr>
      </w:pPr>
    </w:p>
    <w:p w:rsidR="007E2BC7" w14:paraId="6F40DD5C" w14:textId="77777777">
      <w:pPr>
        <w:rPr>
          <w:szCs w:val="22"/>
        </w:rPr>
      </w:pPr>
      <w:r>
        <w:rPr>
          <w:szCs w:val="22"/>
        </w:rPr>
        <w:t>As an IgG1қ monoclonal antibody, renal excretion and hepatic enzyme</w:t>
      </w:r>
      <w:r>
        <w:rPr>
          <w:szCs w:val="22"/>
        </w:rPr>
        <w:noBreakHyphen/>
        <w:t>mediated metabolism of intact daratumumab are unlikely to represent major elimination routes. As such, variations in drug</w:t>
      </w:r>
      <w:r>
        <w:rPr>
          <w:szCs w:val="22"/>
        </w:rPr>
        <w:noBreakHyphen/>
        <w:t>metabolising enzymes are not expected to affect the elimination of daratumumab. Due to the high affinity to a unique epitope on CD38, daratumumab is not anticipated to alter drug</w:t>
      </w:r>
      <w:r>
        <w:rPr>
          <w:szCs w:val="22"/>
        </w:rPr>
        <w:noBreakHyphen/>
        <w:t>metabolising enzymes.</w:t>
      </w:r>
    </w:p>
    <w:p w:rsidR="007E2BC7" w14:paraId="2679139A" w14:textId="77777777">
      <w:pPr>
        <w:rPr>
          <w:szCs w:val="22"/>
        </w:rPr>
      </w:pPr>
    </w:p>
    <w:p w:rsidR="007E2BC7" w14:paraId="0DF1B41E" w14:textId="77777777">
      <w:r>
        <w:t xml:space="preserve">Clinical pharmacokinetic assessments of daratumumab in combination with lenalidomide, pomalidomide, thalidomide, bortezomib and dexamethasone indicated no clinically-relevant drug-drug interaction between </w:t>
      </w:r>
      <w:r>
        <w:rPr>
          <w:szCs w:val="22"/>
        </w:rPr>
        <w:t>daratumumab</w:t>
      </w:r>
      <w:r>
        <w:t xml:space="preserve"> and these</w:t>
      </w:r>
      <w:r>
        <w:rPr>
          <w:szCs w:val="22"/>
        </w:rPr>
        <w:t xml:space="preserve"> </w:t>
      </w:r>
      <w:r>
        <w:t>small molecule medicinal products.</w:t>
      </w:r>
    </w:p>
    <w:p w:rsidR="007E2BC7" w14:paraId="0C97AD15" w14:textId="77777777">
      <w:pPr>
        <w:rPr>
          <w:szCs w:val="22"/>
        </w:rPr>
      </w:pPr>
    </w:p>
    <w:p w:rsidR="007E2BC7" w14:paraId="31D7AB5D" w14:textId="77777777">
      <w:pPr>
        <w:keepNext/>
        <w:outlineLvl w:val="2"/>
        <w:rPr>
          <w:szCs w:val="22"/>
          <w:u w:val="single"/>
        </w:rPr>
      </w:pPr>
      <w:r>
        <w:rPr>
          <w:szCs w:val="22"/>
          <w:u w:val="single"/>
        </w:rPr>
        <w:t>Interference with indirect antiglobulin test (indirect Coombs test)</w:t>
      </w:r>
    </w:p>
    <w:p w:rsidR="007E2BC7" w14:paraId="39D5D31F" w14:textId="77777777">
      <w:pPr>
        <w:rPr>
          <w:szCs w:val="22"/>
        </w:rPr>
      </w:pPr>
      <w:r>
        <w:rPr>
          <w:szCs w:val="22"/>
        </w:rPr>
        <w:t>Daratumumab binds to CD38 on RBCs and interferes with compatibility testing, including antibody screening and cross matching (see section 4.4). Daratumumab interference mitigation methods include treating reagent RBCs with dithiothreitol (DTT) to disrupt daratumumab binding or other locally validated methods. Since the Kell blood group system is also sensitive to DTT treatment, Kell</w:t>
      </w:r>
      <w:r>
        <w:rPr>
          <w:szCs w:val="22"/>
        </w:rPr>
        <w:noBreakHyphen/>
        <w:t>negative units should be supplied after ruling out or identifying alloantibodies using DTT</w:t>
      </w:r>
      <w:r>
        <w:rPr>
          <w:szCs w:val="22"/>
        </w:rPr>
        <w:noBreakHyphen/>
        <w:t>treated RBCs. Alternatively, phenotyping or genotyping may also be considered (see section 4.4).</w:t>
      </w:r>
    </w:p>
    <w:p w:rsidR="007E2BC7" w14:paraId="5B1118E9" w14:textId="77777777">
      <w:pPr>
        <w:rPr>
          <w:szCs w:val="22"/>
        </w:rPr>
      </w:pPr>
    </w:p>
    <w:p w:rsidR="007E2BC7" w14:paraId="39F59BE1" w14:textId="77777777">
      <w:pPr>
        <w:keepNext/>
        <w:outlineLvl w:val="2"/>
        <w:rPr>
          <w:u w:val="single"/>
        </w:rPr>
      </w:pPr>
      <w:r>
        <w:rPr>
          <w:u w:val="single"/>
        </w:rPr>
        <w:t>Interference with serum protein electrophoresis and immunofixation tests</w:t>
      </w:r>
    </w:p>
    <w:p w:rsidR="007E2BC7" w14:paraId="1E69DC89" w14:textId="77777777">
      <w:pPr>
        <w:rPr>
          <w:szCs w:val="22"/>
        </w:rPr>
      </w:pPr>
      <w:r>
        <w:rPr>
          <w:szCs w:val="22"/>
        </w:rPr>
        <w:t>Daratumumab may be detected on serum protein electrophoresis (SPE) and immunofixation (IFE) assays used for monitoring disease monoclonal immunoglobulins (M protein). This can lead to false positive SPE and IFE assay results for patients with IgG kappa myeloma protein impacting initial assessment of complete responses by</w:t>
      </w:r>
      <w:r>
        <w:rPr>
          <w:bCs/>
          <w:iCs/>
          <w:szCs w:val="22"/>
        </w:rPr>
        <w:t xml:space="preserve"> International Myeloma Working Group</w:t>
      </w:r>
      <w:r>
        <w:rPr>
          <w:szCs w:val="22"/>
        </w:rPr>
        <w:t xml:space="preserve"> (IMWG) criteria. In patients with persistent very good partial response, </w:t>
      </w:r>
      <w:r>
        <w:t>where daratumumab interference is suspected, consider using a validated daratumumab-specific IFE assay to distinguish daratumumab from any remaining endogenous M protein in the patient’s serum, to facilitate determination of a complete response</w:t>
      </w:r>
      <w:r>
        <w:rPr>
          <w:szCs w:val="22"/>
        </w:rPr>
        <w:t>.</w:t>
      </w:r>
    </w:p>
    <w:p w:rsidR="007E2BC7" w14:paraId="5E3E266B" w14:textId="77777777">
      <w:pPr>
        <w:rPr>
          <w:szCs w:val="22"/>
        </w:rPr>
      </w:pPr>
    </w:p>
    <w:p w:rsidR="007E2BC7" w14:paraId="1154CEFC" w14:textId="77777777">
      <w:pPr>
        <w:keepNext/>
        <w:ind w:left="567" w:hanging="567"/>
        <w:outlineLvl w:val="1"/>
        <w:rPr>
          <w:b/>
          <w:bCs/>
          <w:szCs w:val="22"/>
        </w:rPr>
      </w:pPr>
      <w:bookmarkStart w:id="7" w:name="_Hlk100740369"/>
      <w:r>
        <w:rPr>
          <w:b/>
          <w:bCs/>
          <w:szCs w:val="22"/>
        </w:rPr>
        <w:t>4.6</w:t>
      </w:r>
      <w:r>
        <w:rPr>
          <w:b/>
          <w:bCs/>
          <w:szCs w:val="22"/>
        </w:rPr>
        <w:tab/>
        <w:t>Fertility, pregnancy and lactation</w:t>
      </w:r>
    </w:p>
    <w:p w:rsidR="007E2BC7" w14:paraId="7D95538A" w14:textId="77777777">
      <w:pPr>
        <w:keepNext/>
        <w:rPr>
          <w:szCs w:val="22"/>
        </w:rPr>
      </w:pPr>
    </w:p>
    <w:p w:rsidR="007E2BC7" w14:paraId="64B2C599" w14:textId="77777777">
      <w:pPr>
        <w:keepNext/>
        <w:outlineLvl w:val="2"/>
        <w:rPr>
          <w:szCs w:val="22"/>
          <w:u w:val="single"/>
        </w:rPr>
      </w:pPr>
      <w:r>
        <w:rPr>
          <w:szCs w:val="22"/>
          <w:u w:val="single"/>
        </w:rPr>
        <w:t>Women of child</w:t>
      </w:r>
      <w:r>
        <w:rPr>
          <w:szCs w:val="22"/>
          <w:u w:val="single"/>
        </w:rPr>
        <w:noBreakHyphen/>
        <w:t>bearing potential/contraception</w:t>
      </w:r>
    </w:p>
    <w:p w:rsidR="007E2BC7" w14:paraId="39537126" w14:textId="77777777">
      <w:pPr>
        <w:rPr>
          <w:szCs w:val="22"/>
        </w:rPr>
      </w:pPr>
      <w:r>
        <w:rPr>
          <w:szCs w:val="22"/>
        </w:rPr>
        <w:t>Women of child</w:t>
      </w:r>
      <w:r>
        <w:rPr>
          <w:szCs w:val="22"/>
        </w:rPr>
        <w:noBreakHyphen/>
        <w:t>bearing potential should use effective contraception during, and for 3 months after cessation of daratumumab treatment.</w:t>
      </w:r>
    </w:p>
    <w:p w:rsidR="007E2BC7" w14:paraId="51288E3A" w14:textId="77777777">
      <w:pPr>
        <w:rPr>
          <w:szCs w:val="22"/>
        </w:rPr>
      </w:pPr>
    </w:p>
    <w:p w:rsidR="007E2BC7" w14:paraId="1BE53598" w14:textId="77777777">
      <w:pPr>
        <w:keepNext/>
        <w:outlineLvl w:val="2"/>
        <w:rPr>
          <w:szCs w:val="22"/>
          <w:u w:val="single"/>
        </w:rPr>
      </w:pPr>
      <w:r>
        <w:rPr>
          <w:szCs w:val="22"/>
          <w:u w:val="single"/>
        </w:rPr>
        <w:t>Pregnancy</w:t>
      </w:r>
    </w:p>
    <w:p w:rsidR="007E2BC7" w14:paraId="4345B89F" w14:textId="379BC2F7">
      <w:pPr>
        <w:rPr>
          <w:color w:val="000000"/>
          <w:szCs w:val="22"/>
        </w:rPr>
      </w:pPr>
      <w:r>
        <w:rPr>
          <w:color w:val="000000"/>
          <w:szCs w:val="22"/>
        </w:rPr>
        <w:t xml:space="preserve">There are no or limited amount of data from the use of daratumumab in pregnant women. Animal studies are insufficient with respect to reproductive toxicity (see section 5.3). </w:t>
      </w:r>
      <w:r w:rsidR="00E65908">
        <w:rPr>
          <w:color w:val="000000"/>
          <w:szCs w:val="22"/>
        </w:rPr>
        <w:t>DARZALEX</w:t>
      </w:r>
      <w:r>
        <w:rPr>
          <w:color w:val="000000"/>
          <w:szCs w:val="22"/>
        </w:rPr>
        <w:t xml:space="preserve"> is not recommended during pregnancy and in women of childbearing potential not using contraception.</w:t>
      </w:r>
    </w:p>
    <w:p w:rsidR="007E2BC7" w14:paraId="64C892A3" w14:textId="77777777">
      <w:pPr>
        <w:rPr>
          <w:szCs w:val="22"/>
        </w:rPr>
      </w:pPr>
    </w:p>
    <w:p w:rsidR="007E2BC7" w14:paraId="7DAE601C" w14:textId="77777777">
      <w:pPr>
        <w:keepNext/>
        <w:outlineLvl w:val="2"/>
        <w:rPr>
          <w:szCs w:val="22"/>
          <w:u w:val="single"/>
        </w:rPr>
      </w:pPr>
      <w:r>
        <w:rPr>
          <w:szCs w:val="22"/>
          <w:u w:val="single"/>
        </w:rPr>
        <w:t>Breast</w:t>
      </w:r>
      <w:r>
        <w:rPr>
          <w:szCs w:val="22"/>
          <w:u w:val="single"/>
        </w:rPr>
        <w:noBreakHyphen/>
        <w:t>feeding</w:t>
      </w:r>
    </w:p>
    <w:p w:rsidR="007E2BC7" w:rsidP="005C3B6E" w14:paraId="0A44AAF8" w14:textId="549DD87B">
      <w:pPr>
        <w:rPr>
          <w:szCs w:val="22"/>
        </w:rPr>
      </w:pPr>
      <w:r>
        <w:rPr>
          <w:szCs w:val="22"/>
        </w:rPr>
        <w:t>It is unknown whether daratumumab is excreted in human milk</w:t>
      </w:r>
      <w:r>
        <w:t>.</w:t>
      </w:r>
    </w:p>
    <w:p w:rsidR="007E2BC7" w14:paraId="075F9981" w14:textId="6D9343A3">
      <w:pPr>
        <w:rPr>
          <w:szCs w:val="22"/>
        </w:rPr>
      </w:pPr>
      <w:r>
        <w:t>A risk to newborns/infants cannot be excluded.</w:t>
      </w:r>
      <w:r>
        <w:rPr>
          <w:szCs w:val="22"/>
        </w:rPr>
        <w:t xml:space="preserve"> A decision must be made whether to discontinue breast</w:t>
      </w:r>
      <w:r>
        <w:rPr>
          <w:szCs w:val="22"/>
        </w:rPr>
        <w:noBreakHyphen/>
        <w:t xml:space="preserve">feeding or to discontinue/abstain from </w:t>
      </w:r>
      <w:bookmarkStart w:id="8" w:name="_Hlk103763383"/>
      <w:r w:rsidR="00E65908">
        <w:rPr>
          <w:szCs w:val="22"/>
        </w:rPr>
        <w:t>DARZALEX</w:t>
      </w:r>
      <w:r>
        <w:rPr>
          <w:szCs w:val="22"/>
        </w:rPr>
        <w:t xml:space="preserve"> </w:t>
      </w:r>
      <w:bookmarkEnd w:id="8"/>
      <w:r>
        <w:rPr>
          <w:szCs w:val="22"/>
        </w:rPr>
        <w:t>therapy taking into account the benefit of breast</w:t>
      </w:r>
      <w:r>
        <w:rPr>
          <w:szCs w:val="22"/>
        </w:rPr>
        <w:noBreakHyphen/>
        <w:t>feeding for the child and the benefit of therapy for the woman.</w:t>
      </w:r>
    </w:p>
    <w:p w:rsidR="007E2BC7" w14:paraId="7990A02F" w14:textId="77777777">
      <w:pPr>
        <w:rPr>
          <w:szCs w:val="22"/>
        </w:rPr>
      </w:pPr>
    </w:p>
    <w:p w:rsidR="007E2BC7" w14:paraId="3C5E1F5D" w14:textId="77777777">
      <w:pPr>
        <w:keepNext/>
        <w:outlineLvl w:val="2"/>
        <w:rPr>
          <w:szCs w:val="22"/>
          <w:u w:val="single"/>
        </w:rPr>
      </w:pPr>
      <w:r>
        <w:rPr>
          <w:szCs w:val="22"/>
          <w:u w:val="single"/>
        </w:rPr>
        <w:t>Fertility</w:t>
      </w:r>
    </w:p>
    <w:p w:rsidR="007E2BC7" w14:paraId="01E60908" w14:textId="77777777">
      <w:pPr>
        <w:rPr>
          <w:szCs w:val="22"/>
        </w:rPr>
      </w:pPr>
      <w:r>
        <w:rPr>
          <w:szCs w:val="22"/>
        </w:rPr>
        <w:t>No data are available to determine potential effects of daratumumab on fertility in males or females (see section 5.3).</w:t>
      </w:r>
    </w:p>
    <w:bookmarkEnd w:id="7"/>
    <w:p w:rsidR="007E2BC7" w14:paraId="70F52E00" w14:textId="77777777">
      <w:pPr>
        <w:rPr>
          <w:szCs w:val="22"/>
        </w:rPr>
      </w:pPr>
    </w:p>
    <w:p w:rsidR="007E2BC7" w14:paraId="08F2BBC1" w14:textId="77777777">
      <w:pPr>
        <w:keepNext/>
        <w:ind w:left="567" w:hanging="567"/>
        <w:outlineLvl w:val="1"/>
        <w:rPr>
          <w:b/>
          <w:bCs/>
          <w:szCs w:val="22"/>
        </w:rPr>
      </w:pPr>
      <w:r>
        <w:rPr>
          <w:b/>
          <w:bCs/>
          <w:szCs w:val="22"/>
        </w:rPr>
        <w:t>4.7</w:t>
      </w:r>
      <w:r>
        <w:rPr>
          <w:b/>
          <w:bCs/>
          <w:szCs w:val="22"/>
        </w:rPr>
        <w:tab/>
        <w:t>Effects on ability to drive and use machines</w:t>
      </w:r>
    </w:p>
    <w:p w:rsidR="007E2BC7" w14:paraId="631987FE" w14:textId="77777777">
      <w:pPr>
        <w:keepNext/>
        <w:rPr>
          <w:szCs w:val="22"/>
        </w:rPr>
      </w:pPr>
    </w:p>
    <w:p w:rsidR="007E2BC7" w14:paraId="658313E8" w14:textId="65FAC2BD">
      <w:pPr>
        <w:rPr>
          <w:szCs w:val="22"/>
        </w:rPr>
      </w:pPr>
      <w:r>
        <w:rPr>
          <w:szCs w:val="22"/>
        </w:rPr>
        <w:t>DARZALEX</w:t>
      </w:r>
      <w:r w:rsidR="00A14273">
        <w:rPr>
          <w:szCs w:val="22"/>
        </w:rPr>
        <w:t xml:space="preserve"> has no or negligible influence on the ability to drive and use machines.</w:t>
      </w:r>
      <w:r w:rsidR="00A14273">
        <w:t xml:space="preserve"> </w:t>
      </w:r>
      <w:r w:rsidR="00A14273">
        <w:rPr>
          <w:szCs w:val="22"/>
        </w:rPr>
        <w:t>However, fatigue has been reported in patients taking daratumumab and this should be taken into account when driving or using machines.</w:t>
      </w:r>
    </w:p>
    <w:p w:rsidR="007E2BC7" w14:paraId="709F960D" w14:textId="77777777">
      <w:pPr>
        <w:rPr>
          <w:szCs w:val="22"/>
        </w:rPr>
      </w:pPr>
      <w:bookmarkStart w:id="9" w:name="_Hlk80273673"/>
    </w:p>
    <w:p w:rsidR="007E2BC7" w14:paraId="354C6AB5" w14:textId="77777777">
      <w:pPr>
        <w:keepNext/>
        <w:ind w:left="567" w:hanging="567"/>
        <w:outlineLvl w:val="1"/>
        <w:rPr>
          <w:b/>
          <w:bCs/>
          <w:szCs w:val="22"/>
        </w:rPr>
      </w:pPr>
      <w:bookmarkStart w:id="10" w:name="_Hlk122299637"/>
      <w:r>
        <w:rPr>
          <w:b/>
          <w:bCs/>
          <w:szCs w:val="22"/>
        </w:rPr>
        <w:t>4.8</w:t>
      </w:r>
      <w:r>
        <w:rPr>
          <w:b/>
          <w:bCs/>
          <w:szCs w:val="22"/>
        </w:rPr>
        <w:tab/>
        <w:t>Undesirable effects</w:t>
      </w:r>
    </w:p>
    <w:bookmarkEnd w:id="10"/>
    <w:p w:rsidR="007E2BC7" w14:paraId="4FA67081" w14:textId="77777777">
      <w:pPr>
        <w:keepNext/>
        <w:tabs>
          <w:tab w:val="clear" w:pos="567"/>
        </w:tabs>
        <w:rPr>
          <w:szCs w:val="22"/>
        </w:rPr>
      </w:pPr>
    </w:p>
    <w:p w:rsidR="007E2BC7" w:rsidRPr="004E6761" w14:paraId="3F36DB08" w14:textId="77777777">
      <w:pPr>
        <w:keepNext/>
        <w:tabs>
          <w:tab w:val="clear" w:pos="567"/>
        </w:tabs>
        <w:outlineLvl w:val="2"/>
        <w:rPr>
          <w:szCs w:val="22"/>
          <w:u w:val="single"/>
        </w:rPr>
      </w:pPr>
      <w:r w:rsidRPr="004E6761">
        <w:rPr>
          <w:szCs w:val="22"/>
          <w:u w:val="single"/>
        </w:rPr>
        <w:t>Summary of the safety profile</w:t>
      </w:r>
    </w:p>
    <w:p w:rsidR="007E2BC7" w:rsidRPr="004E6761" w14:paraId="367D9766" w14:textId="617FF6C3">
      <w:r w:rsidRPr="004E6761">
        <w:t xml:space="preserve">The most frequent adverse reactions of any grade (≥ 20% patients) were IRRs, fatigue, nausea, diarrhoea, constipation, pyrexia, dyspnoea, cough, neutropenia, thrombocytopenia, </w:t>
      </w:r>
      <w:bookmarkStart w:id="11" w:name="_Hlk494967157"/>
      <w:r w:rsidRPr="004E6761">
        <w:t>anaemia, oedema peripheral</w:t>
      </w:r>
      <w:r w:rsidRPr="004E6761">
        <w:rPr>
          <w:bCs/>
          <w:iCs/>
        </w:rPr>
        <w:t>, asthenia</w:t>
      </w:r>
      <w:r w:rsidRPr="004E6761">
        <w:t>, peripheral neuropathy</w:t>
      </w:r>
      <w:bookmarkEnd w:id="11"/>
      <w:r w:rsidRPr="004E6761">
        <w:t xml:space="preserve"> upper respiratory tract infection</w:t>
      </w:r>
      <w:r w:rsidRPr="004E6761" w:rsidR="00D867BE">
        <w:t>, musculoskeletal pain</w:t>
      </w:r>
      <w:r w:rsidRPr="004E6761" w:rsidR="00D867BE">
        <w:rPr>
          <w:bCs/>
          <w:iCs/>
        </w:rPr>
        <w:t xml:space="preserve"> </w:t>
      </w:r>
      <w:r w:rsidRPr="004E6761" w:rsidR="00D867BE">
        <w:rPr>
          <w:szCs w:val="22"/>
        </w:rPr>
        <w:t>and COVID</w:t>
      </w:r>
      <w:r w:rsidRPr="004E6761" w:rsidR="00D867BE">
        <w:rPr>
          <w:iCs/>
          <w:szCs w:val="22"/>
        </w:rPr>
        <w:noBreakHyphen/>
      </w:r>
      <w:r w:rsidRPr="004E6761" w:rsidR="00D867BE">
        <w:rPr>
          <w:szCs w:val="22"/>
        </w:rPr>
        <w:t>19</w:t>
      </w:r>
      <w:r w:rsidRPr="004E6761">
        <w:t>. Serious adverse reactions were sepsis, pneumonia, bronchitis, upper respiratory tract infection, pulmonary oedema, influenza, pyrexia, dehydration, diarrhoea and atrial fibrillation.</w:t>
      </w:r>
    </w:p>
    <w:bookmarkEnd w:id="9"/>
    <w:p w:rsidR="007E2BC7" w:rsidRPr="004E6761" w14:paraId="0B260790" w14:textId="77777777"/>
    <w:p w:rsidR="007E2BC7" w:rsidRPr="004E6761" w14:paraId="4CFCDB2E" w14:textId="77777777">
      <w:pPr>
        <w:keepNext/>
        <w:outlineLvl w:val="2"/>
        <w:rPr>
          <w:u w:val="single"/>
        </w:rPr>
      </w:pPr>
      <w:r w:rsidRPr="004E6761">
        <w:rPr>
          <w:u w:val="single"/>
        </w:rPr>
        <w:t>Tabulated list of adverse reactions</w:t>
      </w:r>
    </w:p>
    <w:p w:rsidR="007E2BC7" w:rsidRPr="004E6761" w14:paraId="1B715293" w14:textId="78D34105">
      <w:r w:rsidRPr="004E6761">
        <w:t xml:space="preserve">Table 6 summarises the adverse reactions that occurred in patients receiving </w:t>
      </w:r>
      <w:r w:rsidRPr="004E6761" w:rsidR="00E65908">
        <w:t>DARZALEX</w:t>
      </w:r>
      <w:r w:rsidRPr="004E6761">
        <w:t xml:space="preserve">. The data reflects exposure to </w:t>
      </w:r>
      <w:r w:rsidRPr="004E6761" w:rsidR="00E65908">
        <w:t>DARZALEX</w:t>
      </w:r>
      <w:r w:rsidRPr="004E6761">
        <w:t xml:space="preserve"> (16 mg/kg) in 2066 patients with multiple myeloma including 1910 patients who received </w:t>
      </w:r>
      <w:r w:rsidRPr="004E6761" w:rsidR="00E65908">
        <w:t>DARZALEX</w:t>
      </w:r>
      <w:r w:rsidRPr="004E6761">
        <w:t xml:space="preserve"> in combination with background regimens and 156 patients who received </w:t>
      </w:r>
      <w:r w:rsidRPr="004E6761" w:rsidR="00E65908">
        <w:t>DARZALEX</w:t>
      </w:r>
      <w:r w:rsidRPr="004E6761">
        <w:t xml:space="preserve"> as monotherapy. Post</w:t>
      </w:r>
      <w:r w:rsidRPr="004E6761">
        <w:noBreakHyphen/>
        <w:t>marketing adverse reactions are also included.</w:t>
      </w:r>
    </w:p>
    <w:p w:rsidR="007E2BC7" w:rsidRPr="004E6761" w14:paraId="6579833A" w14:textId="77777777"/>
    <w:p w:rsidR="007E2BC7" w:rsidRPr="004E6761" w14:paraId="01AC4042" w14:textId="77777777">
      <w:pPr>
        <w:pStyle w:val="ListParagraph"/>
        <w:autoSpaceDE w:val="0"/>
        <w:autoSpaceDN w:val="0"/>
        <w:adjustRightInd w:val="0"/>
        <w:ind w:left="0"/>
        <w:rPr>
          <w:noProof/>
          <w:sz w:val="22"/>
          <w:szCs w:val="22"/>
        </w:rPr>
      </w:pPr>
      <w:r w:rsidRPr="004E6761">
        <w:rPr>
          <w:noProof/>
          <w:sz w:val="22"/>
          <w:szCs w:val="22"/>
        </w:rPr>
        <w:t>In study MMY3006, the number of CD34+ cell yield was numerically lower in the D-VTd arm compared with the VTd arm (Median: D-VTd: 6.3 x 10</w:t>
      </w:r>
      <w:r w:rsidRPr="004E6761">
        <w:rPr>
          <w:noProof/>
          <w:sz w:val="22"/>
          <w:szCs w:val="22"/>
          <w:vertAlign w:val="superscript"/>
        </w:rPr>
        <w:t>6</w:t>
      </w:r>
      <w:r w:rsidRPr="004E6761">
        <w:rPr>
          <w:noProof/>
          <w:sz w:val="22"/>
          <w:szCs w:val="22"/>
        </w:rPr>
        <w:t>/kg; VTd 8.9 x 10</w:t>
      </w:r>
      <w:r w:rsidRPr="004E6761">
        <w:rPr>
          <w:noProof/>
          <w:sz w:val="22"/>
          <w:szCs w:val="22"/>
          <w:vertAlign w:val="superscript"/>
        </w:rPr>
        <w:t>6</w:t>
      </w:r>
      <w:r w:rsidRPr="004E6761">
        <w:rPr>
          <w:noProof/>
          <w:sz w:val="22"/>
          <w:szCs w:val="22"/>
        </w:rPr>
        <w:t>/kg) and among those who completed mobilisation, more patients in the D-VTd group received plerixafor compared to those in the VTd arm (D-VTd: 21.7%; VTd: 7.9%). The rates of engraftment and haematopoietic reconstitution was similar among the transplanted subjects in the D-VTd and VTd arms (D-VTd: 99.8%; VTd: 99.6%; as measured by the recovery of neutrophils &gt; 0.5 x 10</w:t>
      </w:r>
      <w:r w:rsidRPr="004E6761">
        <w:rPr>
          <w:noProof/>
          <w:sz w:val="22"/>
          <w:szCs w:val="22"/>
          <w:vertAlign w:val="superscript"/>
        </w:rPr>
        <w:t>9</w:t>
      </w:r>
      <w:r w:rsidRPr="004E6761">
        <w:rPr>
          <w:noProof/>
          <w:sz w:val="22"/>
          <w:szCs w:val="22"/>
        </w:rPr>
        <w:t>/L, leukocytes &gt; 1.0 x 10</w:t>
      </w:r>
      <w:r w:rsidRPr="004E6761">
        <w:rPr>
          <w:noProof/>
          <w:sz w:val="22"/>
          <w:szCs w:val="22"/>
          <w:vertAlign w:val="superscript"/>
        </w:rPr>
        <w:t>9</w:t>
      </w:r>
      <w:r w:rsidRPr="004E6761">
        <w:rPr>
          <w:noProof/>
          <w:sz w:val="22"/>
          <w:szCs w:val="22"/>
        </w:rPr>
        <w:t>/L, and platelets &gt; 50 x 10</w:t>
      </w:r>
      <w:r w:rsidRPr="004E6761">
        <w:rPr>
          <w:noProof/>
          <w:sz w:val="22"/>
          <w:szCs w:val="22"/>
          <w:vertAlign w:val="superscript"/>
        </w:rPr>
        <w:t>9</w:t>
      </w:r>
      <w:r w:rsidRPr="004E6761">
        <w:rPr>
          <w:noProof/>
          <w:sz w:val="22"/>
          <w:szCs w:val="22"/>
        </w:rPr>
        <w:t>/L without transfusion).</w:t>
      </w:r>
    </w:p>
    <w:p w:rsidR="007E2BC7" w:rsidRPr="004E6761" w14:paraId="4829E4F0" w14:textId="4C408E96">
      <w:r w:rsidRPr="004E6761">
        <w:t>Frequencies are defined as very common (≥</w:t>
      </w:r>
      <w:r w:rsidRPr="004E6761" w:rsidR="00447015">
        <w:t xml:space="preserve"> </w:t>
      </w:r>
      <w:r w:rsidRPr="004E6761">
        <w:t>1/10), common (≥</w:t>
      </w:r>
      <w:r w:rsidRPr="004E6761" w:rsidR="00447015">
        <w:t xml:space="preserve"> </w:t>
      </w:r>
      <w:r w:rsidRPr="004E6761">
        <w:t>1/100 to &lt;</w:t>
      </w:r>
      <w:r w:rsidRPr="004E6761" w:rsidR="00447015">
        <w:t xml:space="preserve"> </w:t>
      </w:r>
      <w:r w:rsidRPr="004E6761">
        <w:t>1/10), uncommon (≥</w:t>
      </w:r>
      <w:r w:rsidRPr="004E6761" w:rsidR="00447015">
        <w:t xml:space="preserve"> </w:t>
      </w:r>
      <w:r w:rsidRPr="004E6761">
        <w:t>1/1000 to &lt;</w:t>
      </w:r>
      <w:r w:rsidRPr="004E6761" w:rsidR="00447015">
        <w:t xml:space="preserve"> </w:t>
      </w:r>
      <w:r w:rsidRPr="004E6761">
        <w:t>1/100), rare (≥</w:t>
      </w:r>
      <w:r w:rsidRPr="004E6761" w:rsidR="00447015">
        <w:t xml:space="preserve"> </w:t>
      </w:r>
      <w:r w:rsidRPr="004E6761">
        <w:t>1/10000 to &lt;</w:t>
      </w:r>
      <w:r w:rsidRPr="004E6761" w:rsidR="00447015">
        <w:t xml:space="preserve"> </w:t>
      </w:r>
      <w:r w:rsidRPr="004E6761">
        <w:t>1/1000) and very rare (&lt;</w:t>
      </w:r>
      <w:r w:rsidRPr="004E6761" w:rsidR="00447015">
        <w:t xml:space="preserve"> </w:t>
      </w:r>
      <w:r w:rsidRPr="004E6761">
        <w:t>1/10000).</w:t>
      </w:r>
      <w:r w:rsidRPr="004E6761">
        <w:rPr>
          <w:szCs w:val="22"/>
        </w:rPr>
        <w:t xml:space="preserve"> </w:t>
      </w:r>
      <w:r w:rsidRPr="004E6761">
        <w:t>Within each frequency grouping,  adverse reactions are presented in the order of decreasing seriousness.</w:t>
      </w:r>
    </w:p>
    <w:p w:rsidR="007E2BC7" w:rsidRPr="004E6761" w14:paraId="0A40B78A" w14:textId="77777777"/>
    <w:tbl>
      <w:tblPr>
        <w:tblW w:w="9072"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0" w:type="dxa"/>
          <w:right w:w="60" w:type="dxa"/>
        </w:tblCellMar>
        <w:tblLook w:val="0000"/>
      </w:tblPr>
      <w:tblGrid>
        <w:gridCol w:w="2673"/>
        <w:gridCol w:w="2480"/>
        <w:gridCol w:w="1542"/>
        <w:gridCol w:w="1226"/>
        <w:gridCol w:w="1151"/>
      </w:tblGrid>
      <w:tr w14:paraId="4907EDA9" w14:textId="77777777" w:rsidTr="00B428AB">
        <w:tblPrEx>
          <w:tblW w:w="9072"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0" w:type="dxa"/>
            <w:right w:w="60" w:type="dxa"/>
          </w:tblCellMar>
          <w:tblLook w:val="0000"/>
        </w:tblPrEx>
        <w:trPr>
          <w:cantSplit/>
          <w:jc w:val="center"/>
        </w:trPr>
        <w:tc>
          <w:tcPr>
            <w:tcW w:w="9072" w:type="dxa"/>
            <w:gridSpan w:val="5"/>
            <w:tcBorders>
              <w:top w:val="nil"/>
              <w:left w:val="nil"/>
              <w:right w:val="nil"/>
            </w:tcBorders>
          </w:tcPr>
          <w:p w:rsidR="007E2BC7" w:rsidRPr="004E6761" w14:paraId="6FCDE646" w14:textId="5B725094">
            <w:pPr>
              <w:keepNext/>
              <w:ind w:left="1134" w:hanging="1134"/>
              <w:rPr>
                <w:b/>
                <w:szCs w:val="22"/>
              </w:rPr>
            </w:pPr>
            <w:bookmarkStart w:id="12" w:name="_Hlk122299586"/>
            <w:r w:rsidRPr="004E6761">
              <w:rPr>
                <w:b/>
                <w:szCs w:val="22"/>
              </w:rPr>
              <w:t>Table 6:</w:t>
            </w:r>
            <w:r w:rsidRPr="004E6761">
              <w:rPr>
                <w:b/>
                <w:szCs w:val="22"/>
              </w:rPr>
              <w:tab/>
              <w:t xml:space="preserve">Adverse reactions in multiple myeloma patients treated with </w:t>
            </w:r>
            <w:r w:rsidRPr="004E6761" w:rsidR="00E65908">
              <w:rPr>
                <w:b/>
                <w:szCs w:val="22"/>
              </w:rPr>
              <w:t>DARZALEX</w:t>
            </w:r>
            <w:r w:rsidRPr="004E6761">
              <w:rPr>
                <w:b/>
                <w:szCs w:val="22"/>
              </w:rPr>
              <w:t xml:space="preserve"> 16 mg/kg</w:t>
            </w:r>
          </w:p>
        </w:tc>
      </w:tr>
      <w:tr w14:paraId="534DFEC6" w14:textId="77777777" w:rsidTr="00B428AB">
        <w:tblPrEx>
          <w:tblW w:w="9072" w:type="dxa"/>
          <w:jc w:val="center"/>
          <w:tblLayout w:type="fixed"/>
          <w:tblCellMar>
            <w:left w:w="60" w:type="dxa"/>
            <w:right w:w="60" w:type="dxa"/>
          </w:tblCellMar>
          <w:tblLook w:val="0000"/>
        </w:tblPrEx>
        <w:trPr>
          <w:cantSplit/>
          <w:jc w:val="center"/>
        </w:trPr>
        <w:tc>
          <w:tcPr>
            <w:tcW w:w="2673" w:type="dxa"/>
            <w:vMerge w:val="restart"/>
            <w:tcBorders>
              <w:right w:val="single" w:sz="4" w:space="0" w:color="auto"/>
            </w:tcBorders>
          </w:tcPr>
          <w:p w:rsidR="007E2BC7" w:rsidRPr="004E6761" w14:paraId="50354B54" w14:textId="77777777">
            <w:pPr>
              <w:keepNext/>
              <w:rPr>
                <w:b/>
                <w:szCs w:val="22"/>
              </w:rPr>
            </w:pPr>
            <w:r w:rsidRPr="004E6761">
              <w:rPr>
                <w:b/>
                <w:szCs w:val="22"/>
              </w:rPr>
              <w:t>System organ class</w:t>
            </w:r>
          </w:p>
        </w:tc>
        <w:tc>
          <w:tcPr>
            <w:tcW w:w="2480" w:type="dxa"/>
            <w:vMerge w:val="restart"/>
            <w:tcBorders>
              <w:left w:val="single" w:sz="4" w:space="0" w:color="auto"/>
              <w:right w:val="single" w:sz="4" w:space="0" w:color="auto"/>
            </w:tcBorders>
          </w:tcPr>
          <w:p w:rsidR="007E2BC7" w:rsidRPr="004E6761" w14:paraId="2797B4AD" w14:textId="77777777">
            <w:pPr>
              <w:keepNext/>
              <w:rPr>
                <w:b/>
                <w:szCs w:val="22"/>
              </w:rPr>
            </w:pPr>
            <w:r w:rsidRPr="004E6761">
              <w:rPr>
                <w:b/>
                <w:szCs w:val="22"/>
              </w:rPr>
              <w:t>Adverse reaction</w:t>
            </w:r>
          </w:p>
        </w:tc>
        <w:tc>
          <w:tcPr>
            <w:tcW w:w="1542" w:type="dxa"/>
            <w:vMerge w:val="restart"/>
            <w:tcBorders>
              <w:left w:val="single" w:sz="4" w:space="0" w:color="auto"/>
              <w:right w:val="single" w:sz="4" w:space="0" w:color="auto"/>
            </w:tcBorders>
          </w:tcPr>
          <w:p w:rsidR="007E2BC7" w:rsidRPr="004E6761" w14:paraId="01FB1E8D" w14:textId="77777777">
            <w:pPr>
              <w:keepNext/>
              <w:rPr>
                <w:b/>
                <w:szCs w:val="22"/>
              </w:rPr>
            </w:pPr>
            <w:r w:rsidRPr="004E6761">
              <w:rPr>
                <w:b/>
                <w:szCs w:val="22"/>
              </w:rPr>
              <w:t xml:space="preserve">Frequency </w:t>
            </w:r>
          </w:p>
        </w:tc>
        <w:tc>
          <w:tcPr>
            <w:tcW w:w="2377" w:type="dxa"/>
            <w:gridSpan w:val="2"/>
            <w:tcBorders>
              <w:left w:val="single" w:sz="4" w:space="0" w:color="auto"/>
            </w:tcBorders>
          </w:tcPr>
          <w:p w:rsidR="007E2BC7" w:rsidRPr="004E6761" w14:paraId="19CFC890" w14:textId="77777777">
            <w:pPr>
              <w:keepNext/>
              <w:rPr>
                <w:b/>
                <w:szCs w:val="22"/>
              </w:rPr>
            </w:pPr>
            <w:r w:rsidRPr="004E6761">
              <w:rPr>
                <w:b/>
                <w:szCs w:val="22"/>
              </w:rPr>
              <w:t>Incidence (%)</w:t>
            </w:r>
          </w:p>
        </w:tc>
      </w:tr>
      <w:tr w14:paraId="280DEE38" w14:textId="77777777" w:rsidTr="00B428AB">
        <w:tblPrEx>
          <w:tblW w:w="9072" w:type="dxa"/>
          <w:jc w:val="center"/>
          <w:tblLayout w:type="fixed"/>
          <w:tblCellMar>
            <w:left w:w="60" w:type="dxa"/>
            <w:right w:w="60" w:type="dxa"/>
          </w:tblCellMar>
          <w:tblLook w:val="0000"/>
        </w:tblPrEx>
        <w:trPr>
          <w:cantSplit/>
          <w:jc w:val="center"/>
        </w:trPr>
        <w:tc>
          <w:tcPr>
            <w:tcW w:w="2673" w:type="dxa"/>
            <w:vMerge/>
            <w:tcBorders>
              <w:right w:val="single" w:sz="4" w:space="0" w:color="auto"/>
            </w:tcBorders>
          </w:tcPr>
          <w:p w:rsidR="007E2BC7" w:rsidRPr="004E6761" w14:paraId="7233E731" w14:textId="77777777">
            <w:pPr>
              <w:keepNext/>
              <w:rPr>
                <w:b/>
                <w:szCs w:val="22"/>
              </w:rPr>
            </w:pPr>
          </w:p>
        </w:tc>
        <w:tc>
          <w:tcPr>
            <w:tcW w:w="2480" w:type="dxa"/>
            <w:vMerge/>
            <w:tcBorders>
              <w:left w:val="single" w:sz="4" w:space="0" w:color="auto"/>
              <w:bottom w:val="single" w:sz="4" w:space="0" w:color="auto"/>
              <w:right w:val="single" w:sz="4" w:space="0" w:color="auto"/>
            </w:tcBorders>
          </w:tcPr>
          <w:p w:rsidR="007E2BC7" w:rsidRPr="004E6761" w14:paraId="4C3926E8" w14:textId="77777777">
            <w:pPr>
              <w:keepNext/>
              <w:rPr>
                <w:b/>
                <w:szCs w:val="22"/>
              </w:rPr>
            </w:pPr>
          </w:p>
        </w:tc>
        <w:tc>
          <w:tcPr>
            <w:tcW w:w="1542" w:type="dxa"/>
            <w:vMerge/>
            <w:tcBorders>
              <w:left w:val="single" w:sz="4" w:space="0" w:color="auto"/>
              <w:right w:val="single" w:sz="4" w:space="0" w:color="auto"/>
            </w:tcBorders>
          </w:tcPr>
          <w:p w:rsidR="007E2BC7" w:rsidRPr="004E6761" w14:paraId="47965F88" w14:textId="77777777">
            <w:pPr>
              <w:keepNext/>
              <w:rPr>
                <w:b/>
                <w:szCs w:val="22"/>
              </w:rPr>
            </w:pPr>
          </w:p>
        </w:tc>
        <w:tc>
          <w:tcPr>
            <w:tcW w:w="1226" w:type="dxa"/>
            <w:tcBorders>
              <w:left w:val="single" w:sz="4" w:space="0" w:color="auto"/>
              <w:right w:val="single" w:sz="4" w:space="0" w:color="auto"/>
            </w:tcBorders>
          </w:tcPr>
          <w:p w:rsidR="007E2BC7" w:rsidRPr="004B6FCF" w14:paraId="6EDBC8A8" w14:textId="77777777">
            <w:pPr>
              <w:keepNext/>
              <w:rPr>
                <w:b/>
                <w:szCs w:val="22"/>
              </w:rPr>
            </w:pPr>
            <w:r w:rsidRPr="004B6FCF">
              <w:rPr>
                <w:b/>
                <w:szCs w:val="22"/>
              </w:rPr>
              <w:t>Any grade</w:t>
            </w:r>
          </w:p>
        </w:tc>
        <w:tc>
          <w:tcPr>
            <w:tcW w:w="1151" w:type="dxa"/>
            <w:tcBorders>
              <w:left w:val="single" w:sz="4" w:space="0" w:color="auto"/>
            </w:tcBorders>
          </w:tcPr>
          <w:p w:rsidR="007E2BC7" w:rsidRPr="004B6FCF" w14:paraId="00ADD696" w14:textId="77777777">
            <w:pPr>
              <w:keepNext/>
              <w:rPr>
                <w:b/>
                <w:szCs w:val="22"/>
              </w:rPr>
            </w:pPr>
            <w:r w:rsidRPr="004B6FCF">
              <w:rPr>
                <w:b/>
                <w:szCs w:val="22"/>
              </w:rPr>
              <w:t>Grade 3</w:t>
            </w:r>
            <w:r w:rsidRPr="004B6FCF">
              <w:rPr>
                <w:b/>
                <w:szCs w:val="22"/>
              </w:rPr>
              <w:noBreakHyphen/>
              <w:t>4</w:t>
            </w:r>
          </w:p>
        </w:tc>
      </w:tr>
      <w:tr w14:paraId="44466ED8" w14:textId="77777777" w:rsidTr="00B428AB">
        <w:tblPrEx>
          <w:tblW w:w="9072" w:type="dxa"/>
          <w:jc w:val="center"/>
          <w:tblLayout w:type="fixed"/>
          <w:tblCellMar>
            <w:left w:w="60" w:type="dxa"/>
            <w:right w:w="60" w:type="dxa"/>
          </w:tblCellMar>
          <w:tblLook w:val="0000"/>
        </w:tblPrEx>
        <w:trPr>
          <w:cantSplit/>
          <w:jc w:val="center"/>
        </w:trPr>
        <w:tc>
          <w:tcPr>
            <w:tcW w:w="2673" w:type="dxa"/>
            <w:vMerge w:val="restart"/>
            <w:tcBorders>
              <w:right w:val="single" w:sz="4" w:space="0" w:color="auto"/>
            </w:tcBorders>
          </w:tcPr>
          <w:p w:rsidR="007E2BC7" w:rsidRPr="004E6761" w14:paraId="397896E3" w14:textId="77777777">
            <w:pPr>
              <w:keepNext/>
              <w:rPr>
                <w:b/>
                <w:szCs w:val="22"/>
              </w:rPr>
            </w:pPr>
            <w:r w:rsidRPr="004E6761">
              <w:rPr>
                <w:b/>
                <w:szCs w:val="22"/>
              </w:rPr>
              <w:t>Infections and infestations</w:t>
            </w:r>
          </w:p>
        </w:tc>
        <w:tc>
          <w:tcPr>
            <w:tcW w:w="2480" w:type="dxa"/>
            <w:tcBorders>
              <w:left w:val="single" w:sz="4" w:space="0" w:color="auto"/>
              <w:right w:val="single" w:sz="4" w:space="0" w:color="auto"/>
            </w:tcBorders>
          </w:tcPr>
          <w:p w:rsidR="007E2BC7" w:rsidRPr="004E6761" w14:paraId="62415ED0" w14:textId="77777777">
            <w:pPr>
              <w:keepNext/>
              <w:rPr>
                <w:szCs w:val="22"/>
              </w:rPr>
            </w:pPr>
            <w:r w:rsidRPr="004E6761">
              <w:rPr>
                <w:szCs w:val="22"/>
              </w:rPr>
              <w:t>Upper respiratory tract infection</w:t>
            </w:r>
            <w:r w:rsidRPr="004E6761">
              <w:rPr>
                <w:szCs w:val="22"/>
                <w:vertAlign w:val="superscript"/>
              </w:rPr>
              <w:t>a</w:t>
            </w:r>
          </w:p>
        </w:tc>
        <w:tc>
          <w:tcPr>
            <w:tcW w:w="1542" w:type="dxa"/>
            <w:vMerge w:val="restart"/>
            <w:tcBorders>
              <w:left w:val="single" w:sz="4" w:space="0" w:color="auto"/>
              <w:right w:val="single" w:sz="4" w:space="0" w:color="auto"/>
            </w:tcBorders>
          </w:tcPr>
          <w:p w:rsidR="007E2BC7" w:rsidRPr="004E6761" w14:paraId="00DF39B8" w14:textId="77777777">
            <w:pPr>
              <w:keepNext/>
              <w:rPr>
                <w:szCs w:val="22"/>
              </w:rPr>
            </w:pPr>
            <w:r w:rsidRPr="004E6761">
              <w:rPr>
                <w:szCs w:val="22"/>
              </w:rPr>
              <w:t>Very common</w:t>
            </w:r>
          </w:p>
        </w:tc>
        <w:tc>
          <w:tcPr>
            <w:tcW w:w="1226" w:type="dxa"/>
            <w:tcBorders>
              <w:left w:val="single" w:sz="4" w:space="0" w:color="auto"/>
              <w:right w:val="single" w:sz="4" w:space="0" w:color="auto"/>
            </w:tcBorders>
            <w:vAlign w:val="bottom"/>
          </w:tcPr>
          <w:p w:rsidR="007E2BC7" w:rsidRPr="004B6FCF" w14:paraId="0EB5E764" w14:textId="3C56C041">
            <w:pPr>
              <w:keepNext/>
              <w:rPr>
                <w:szCs w:val="22"/>
              </w:rPr>
            </w:pPr>
            <w:r w:rsidRPr="004B6FCF">
              <w:rPr>
                <w:szCs w:val="22"/>
              </w:rPr>
              <w:t>46</w:t>
            </w:r>
          </w:p>
        </w:tc>
        <w:tc>
          <w:tcPr>
            <w:tcW w:w="1151" w:type="dxa"/>
            <w:tcBorders>
              <w:left w:val="single" w:sz="4" w:space="0" w:color="auto"/>
            </w:tcBorders>
            <w:vAlign w:val="bottom"/>
          </w:tcPr>
          <w:p w:rsidR="007E2BC7" w:rsidRPr="004B6FCF" w14:paraId="737AACDC" w14:textId="671A4744">
            <w:pPr>
              <w:keepNext/>
              <w:rPr>
                <w:szCs w:val="22"/>
              </w:rPr>
            </w:pPr>
            <w:r w:rsidRPr="004B6FCF">
              <w:rPr>
                <w:szCs w:val="22"/>
              </w:rPr>
              <w:t>4</w:t>
            </w:r>
          </w:p>
        </w:tc>
      </w:tr>
      <w:tr w14:paraId="63027B9B" w14:textId="77777777" w:rsidTr="004E6761">
        <w:tblPrEx>
          <w:tblW w:w="9072" w:type="dxa"/>
          <w:jc w:val="center"/>
          <w:tblLayout w:type="fixed"/>
          <w:tblCellMar>
            <w:left w:w="60" w:type="dxa"/>
            <w:right w:w="60" w:type="dxa"/>
          </w:tblCellMar>
          <w:tblLook w:val="0000"/>
        </w:tblPrEx>
        <w:trPr>
          <w:cantSplit/>
          <w:jc w:val="center"/>
        </w:trPr>
        <w:tc>
          <w:tcPr>
            <w:tcW w:w="2673" w:type="dxa"/>
            <w:vMerge/>
            <w:tcBorders>
              <w:right w:val="single" w:sz="4" w:space="0" w:color="auto"/>
            </w:tcBorders>
          </w:tcPr>
          <w:p w:rsidR="00D867BE" w:rsidRPr="004E6761" w:rsidP="00D867BE" w14:paraId="397F5B02" w14:textId="77777777">
            <w:pPr>
              <w:keepNext/>
              <w:rPr>
                <w:b/>
                <w:szCs w:val="22"/>
              </w:rPr>
            </w:pPr>
          </w:p>
        </w:tc>
        <w:tc>
          <w:tcPr>
            <w:tcW w:w="2480" w:type="dxa"/>
            <w:tcBorders>
              <w:left w:val="single" w:sz="4" w:space="0" w:color="auto"/>
              <w:right w:val="single" w:sz="4" w:space="0" w:color="auto"/>
            </w:tcBorders>
          </w:tcPr>
          <w:p w:rsidR="00D867BE" w:rsidRPr="004E6761" w:rsidP="00D867BE" w14:paraId="65D3230F" w14:textId="1559A16D">
            <w:pPr>
              <w:keepNext/>
              <w:rPr>
                <w:szCs w:val="22"/>
              </w:rPr>
            </w:pPr>
            <w:r w:rsidRPr="004E6761">
              <w:t>COVID-19</w:t>
            </w:r>
            <w:r w:rsidRPr="004E6761">
              <w:rPr>
                <w:vertAlign w:val="superscript"/>
              </w:rPr>
              <w:t>a,d</w:t>
            </w:r>
          </w:p>
        </w:tc>
        <w:tc>
          <w:tcPr>
            <w:tcW w:w="1542" w:type="dxa"/>
            <w:vMerge/>
            <w:tcBorders>
              <w:left w:val="single" w:sz="4" w:space="0" w:color="auto"/>
              <w:right w:val="single" w:sz="4" w:space="0" w:color="auto"/>
            </w:tcBorders>
          </w:tcPr>
          <w:p w:rsidR="00D867BE" w:rsidRPr="004E6761" w:rsidP="00D867BE" w14:paraId="6FF4DBAD" w14:textId="77777777">
            <w:pPr>
              <w:keepNext/>
              <w:rPr>
                <w:szCs w:val="22"/>
              </w:rPr>
            </w:pPr>
          </w:p>
        </w:tc>
        <w:tc>
          <w:tcPr>
            <w:tcW w:w="1226" w:type="dxa"/>
            <w:tcBorders>
              <w:left w:val="single" w:sz="4" w:space="0" w:color="auto"/>
              <w:right w:val="single" w:sz="4" w:space="0" w:color="auto"/>
            </w:tcBorders>
          </w:tcPr>
          <w:p w:rsidR="00D867BE" w:rsidRPr="004B6FCF" w:rsidP="00D867BE" w14:paraId="1F9C64E6" w14:textId="6EDCA925">
            <w:pPr>
              <w:keepNext/>
              <w:rPr>
                <w:szCs w:val="22"/>
              </w:rPr>
            </w:pPr>
            <w:r w:rsidRPr="004B6FCF">
              <w:t>23</w:t>
            </w:r>
          </w:p>
        </w:tc>
        <w:tc>
          <w:tcPr>
            <w:tcW w:w="1151" w:type="dxa"/>
            <w:tcBorders>
              <w:left w:val="single" w:sz="4" w:space="0" w:color="auto"/>
            </w:tcBorders>
          </w:tcPr>
          <w:p w:rsidR="00D867BE" w:rsidRPr="004B6FCF" w:rsidP="00D867BE" w14:paraId="4DD79881" w14:textId="2251DC1E">
            <w:pPr>
              <w:keepNext/>
              <w:rPr>
                <w:szCs w:val="22"/>
              </w:rPr>
            </w:pPr>
            <w:r w:rsidRPr="004B6FCF">
              <w:t>6</w:t>
            </w:r>
          </w:p>
        </w:tc>
      </w:tr>
      <w:tr w14:paraId="317A4FEE" w14:textId="77777777" w:rsidTr="004E6761">
        <w:tblPrEx>
          <w:tblW w:w="9072" w:type="dxa"/>
          <w:jc w:val="center"/>
          <w:tblLayout w:type="fixed"/>
          <w:tblCellMar>
            <w:left w:w="60" w:type="dxa"/>
            <w:right w:w="60" w:type="dxa"/>
          </w:tblCellMar>
          <w:tblLook w:val="0000"/>
        </w:tblPrEx>
        <w:trPr>
          <w:cantSplit/>
          <w:jc w:val="center"/>
        </w:trPr>
        <w:tc>
          <w:tcPr>
            <w:tcW w:w="2673" w:type="dxa"/>
            <w:vMerge/>
            <w:tcBorders>
              <w:right w:val="single" w:sz="4" w:space="0" w:color="auto"/>
            </w:tcBorders>
          </w:tcPr>
          <w:p w:rsidR="00D867BE" w:rsidRPr="004E6761" w:rsidP="00D867BE" w14:paraId="6514BB99" w14:textId="77777777">
            <w:pPr>
              <w:keepNext/>
              <w:rPr>
                <w:b/>
                <w:szCs w:val="22"/>
              </w:rPr>
            </w:pPr>
          </w:p>
        </w:tc>
        <w:tc>
          <w:tcPr>
            <w:tcW w:w="2480" w:type="dxa"/>
            <w:tcBorders>
              <w:left w:val="single" w:sz="4" w:space="0" w:color="auto"/>
              <w:right w:val="single" w:sz="4" w:space="0" w:color="auto"/>
            </w:tcBorders>
          </w:tcPr>
          <w:p w:rsidR="00D867BE" w:rsidRPr="004E6761" w:rsidP="00D867BE" w14:paraId="676DBA51" w14:textId="709C395E">
            <w:pPr>
              <w:keepNext/>
              <w:rPr>
                <w:szCs w:val="22"/>
              </w:rPr>
            </w:pPr>
            <w:r w:rsidRPr="004E6761">
              <w:t>Pneumoniaa</w:t>
            </w:r>
          </w:p>
        </w:tc>
        <w:tc>
          <w:tcPr>
            <w:tcW w:w="1542" w:type="dxa"/>
            <w:vMerge/>
            <w:tcBorders>
              <w:left w:val="single" w:sz="4" w:space="0" w:color="auto"/>
              <w:right w:val="single" w:sz="4" w:space="0" w:color="auto"/>
            </w:tcBorders>
          </w:tcPr>
          <w:p w:rsidR="00D867BE" w:rsidRPr="004E6761" w:rsidP="00D867BE" w14:paraId="7791982E" w14:textId="77777777">
            <w:pPr>
              <w:keepNext/>
              <w:rPr>
                <w:szCs w:val="22"/>
              </w:rPr>
            </w:pPr>
          </w:p>
        </w:tc>
        <w:tc>
          <w:tcPr>
            <w:tcW w:w="1226" w:type="dxa"/>
            <w:tcBorders>
              <w:left w:val="single" w:sz="4" w:space="0" w:color="auto"/>
              <w:right w:val="single" w:sz="4" w:space="0" w:color="auto"/>
            </w:tcBorders>
          </w:tcPr>
          <w:p w:rsidR="00D867BE" w:rsidRPr="004B6FCF" w:rsidP="00D867BE" w14:paraId="278805FD" w14:textId="3451C49C">
            <w:pPr>
              <w:keepNext/>
              <w:rPr>
                <w:szCs w:val="22"/>
              </w:rPr>
            </w:pPr>
            <w:r w:rsidRPr="004B6FCF">
              <w:t>19</w:t>
            </w:r>
          </w:p>
        </w:tc>
        <w:tc>
          <w:tcPr>
            <w:tcW w:w="1151" w:type="dxa"/>
            <w:tcBorders>
              <w:left w:val="single" w:sz="4" w:space="0" w:color="auto"/>
            </w:tcBorders>
          </w:tcPr>
          <w:p w:rsidR="00D867BE" w:rsidRPr="004B6FCF" w:rsidP="00D867BE" w14:paraId="285A7654" w14:textId="3FF05915">
            <w:pPr>
              <w:keepNext/>
              <w:rPr>
                <w:szCs w:val="22"/>
              </w:rPr>
            </w:pPr>
            <w:r w:rsidRPr="004B6FCF">
              <w:t>11</w:t>
            </w:r>
          </w:p>
        </w:tc>
      </w:tr>
      <w:tr w14:paraId="7110D8D7" w14:textId="77777777" w:rsidTr="00B428AB">
        <w:tblPrEx>
          <w:tblW w:w="9072" w:type="dxa"/>
          <w:jc w:val="center"/>
          <w:tblLayout w:type="fixed"/>
          <w:tblCellMar>
            <w:left w:w="60" w:type="dxa"/>
            <w:right w:w="60" w:type="dxa"/>
          </w:tblCellMar>
          <w:tblLook w:val="0000"/>
        </w:tblPrEx>
        <w:trPr>
          <w:cantSplit/>
          <w:jc w:val="center"/>
        </w:trPr>
        <w:tc>
          <w:tcPr>
            <w:tcW w:w="2673" w:type="dxa"/>
            <w:vMerge/>
            <w:tcBorders>
              <w:right w:val="single" w:sz="4" w:space="0" w:color="auto"/>
            </w:tcBorders>
          </w:tcPr>
          <w:p w:rsidR="007E2BC7" w:rsidRPr="004E6761" w14:paraId="5D171A86" w14:textId="77777777">
            <w:pPr>
              <w:keepNext/>
              <w:rPr>
                <w:b/>
                <w:szCs w:val="22"/>
              </w:rPr>
            </w:pPr>
          </w:p>
        </w:tc>
        <w:tc>
          <w:tcPr>
            <w:tcW w:w="2480" w:type="dxa"/>
            <w:tcBorders>
              <w:left w:val="single" w:sz="4" w:space="0" w:color="auto"/>
              <w:right w:val="single" w:sz="4" w:space="0" w:color="auto"/>
            </w:tcBorders>
          </w:tcPr>
          <w:p w:rsidR="007E2BC7" w:rsidRPr="004E6761" w14:paraId="5A618083" w14:textId="77777777">
            <w:pPr>
              <w:keepNext/>
              <w:rPr>
                <w:szCs w:val="22"/>
              </w:rPr>
            </w:pPr>
            <w:r w:rsidRPr="004E6761">
              <w:rPr>
                <w:szCs w:val="22"/>
              </w:rPr>
              <w:t>Bronchitis</w:t>
            </w:r>
            <w:r w:rsidRPr="004E6761">
              <w:rPr>
                <w:szCs w:val="22"/>
                <w:vertAlign w:val="superscript"/>
              </w:rPr>
              <w:t>a</w:t>
            </w:r>
          </w:p>
        </w:tc>
        <w:tc>
          <w:tcPr>
            <w:tcW w:w="1542" w:type="dxa"/>
            <w:vMerge/>
            <w:tcBorders>
              <w:left w:val="single" w:sz="4" w:space="0" w:color="auto"/>
              <w:right w:val="single" w:sz="4" w:space="0" w:color="auto"/>
            </w:tcBorders>
          </w:tcPr>
          <w:p w:rsidR="007E2BC7" w:rsidRPr="004E6761" w14:paraId="698C08C4" w14:textId="77777777">
            <w:pPr>
              <w:keepNext/>
              <w:rPr>
                <w:szCs w:val="22"/>
              </w:rPr>
            </w:pPr>
          </w:p>
        </w:tc>
        <w:tc>
          <w:tcPr>
            <w:tcW w:w="1226" w:type="dxa"/>
            <w:tcBorders>
              <w:left w:val="single" w:sz="4" w:space="0" w:color="auto"/>
              <w:right w:val="single" w:sz="4" w:space="0" w:color="auto"/>
            </w:tcBorders>
            <w:vAlign w:val="bottom"/>
          </w:tcPr>
          <w:p w:rsidR="007E2BC7" w:rsidRPr="004B6FCF" w14:paraId="3C39259D" w14:textId="77777777">
            <w:pPr>
              <w:keepNext/>
              <w:rPr>
                <w:szCs w:val="22"/>
              </w:rPr>
            </w:pPr>
            <w:r w:rsidRPr="004B6FCF">
              <w:rPr>
                <w:szCs w:val="22"/>
              </w:rPr>
              <w:t>17</w:t>
            </w:r>
          </w:p>
        </w:tc>
        <w:tc>
          <w:tcPr>
            <w:tcW w:w="1151" w:type="dxa"/>
            <w:tcBorders>
              <w:left w:val="single" w:sz="4" w:space="0" w:color="auto"/>
            </w:tcBorders>
            <w:vAlign w:val="bottom"/>
          </w:tcPr>
          <w:p w:rsidR="007E2BC7" w:rsidRPr="004B6FCF" w14:paraId="7764CCC7" w14:textId="77777777">
            <w:pPr>
              <w:keepNext/>
              <w:rPr>
                <w:szCs w:val="22"/>
              </w:rPr>
            </w:pPr>
            <w:r w:rsidRPr="004B6FCF">
              <w:rPr>
                <w:szCs w:val="22"/>
              </w:rPr>
              <w:t>2</w:t>
            </w:r>
          </w:p>
        </w:tc>
      </w:tr>
      <w:tr w14:paraId="393FD310" w14:textId="77777777" w:rsidTr="00B428AB">
        <w:tblPrEx>
          <w:tblW w:w="9072" w:type="dxa"/>
          <w:jc w:val="center"/>
          <w:tblLayout w:type="fixed"/>
          <w:tblCellMar>
            <w:left w:w="60" w:type="dxa"/>
            <w:right w:w="60" w:type="dxa"/>
          </w:tblCellMar>
          <w:tblLook w:val="0000"/>
        </w:tblPrEx>
        <w:trPr>
          <w:cantSplit/>
          <w:jc w:val="center"/>
        </w:trPr>
        <w:tc>
          <w:tcPr>
            <w:tcW w:w="2673" w:type="dxa"/>
            <w:vMerge/>
            <w:tcBorders>
              <w:right w:val="single" w:sz="4" w:space="0" w:color="auto"/>
            </w:tcBorders>
          </w:tcPr>
          <w:p w:rsidR="007E2BC7" w:rsidRPr="004E6761" w14:paraId="2E5B9556" w14:textId="77777777">
            <w:pPr>
              <w:keepNext/>
              <w:rPr>
                <w:b/>
                <w:szCs w:val="22"/>
              </w:rPr>
            </w:pPr>
          </w:p>
        </w:tc>
        <w:tc>
          <w:tcPr>
            <w:tcW w:w="2480" w:type="dxa"/>
            <w:tcBorders>
              <w:left w:val="single" w:sz="4" w:space="0" w:color="auto"/>
              <w:right w:val="single" w:sz="4" w:space="0" w:color="auto"/>
            </w:tcBorders>
          </w:tcPr>
          <w:p w:rsidR="007E2BC7" w:rsidRPr="004E6761" w14:paraId="0A7CC702" w14:textId="34368292">
            <w:pPr>
              <w:keepNext/>
              <w:rPr>
                <w:szCs w:val="22"/>
              </w:rPr>
            </w:pPr>
          </w:p>
        </w:tc>
        <w:tc>
          <w:tcPr>
            <w:tcW w:w="1542" w:type="dxa"/>
            <w:vMerge/>
            <w:tcBorders>
              <w:left w:val="single" w:sz="4" w:space="0" w:color="auto"/>
              <w:right w:val="single" w:sz="4" w:space="0" w:color="auto"/>
            </w:tcBorders>
          </w:tcPr>
          <w:p w:rsidR="007E2BC7" w:rsidRPr="004E6761" w14:paraId="6FEB4521" w14:textId="77777777">
            <w:pPr>
              <w:keepNext/>
              <w:rPr>
                <w:szCs w:val="22"/>
              </w:rPr>
            </w:pPr>
          </w:p>
        </w:tc>
        <w:tc>
          <w:tcPr>
            <w:tcW w:w="1226" w:type="dxa"/>
            <w:tcBorders>
              <w:left w:val="single" w:sz="4" w:space="0" w:color="auto"/>
              <w:right w:val="single" w:sz="4" w:space="0" w:color="auto"/>
            </w:tcBorders>
          </w:tcPr>
          <w:p w:rsidR="007E2BC7" w:rsidRPr="004B6FCF" w14:paraId="2FC8060A" w14:textId="2A3BE525">
            <w:pPr>
              <w:keepNext/>
              <w:rPr>
                <w:szCs w:val="22"/>
              </w:rPr>
            </w:pPr>
          </w:p>
        </w:tc>
        <w:tc>
          <w:tcPr>
            <w:tcW w:w="1151" w:type="dxa"/>
            <w:tcBorders>
              <w:left w:val="single" w:sz="4" w:space="0" w:color="auto"/>
            </w:tcBorders>
          </w:tcPr>
          <w:p w:rsidR="007E2BC7" w:rsidRPr="004B6FCF" w14:paraId="279C7BA3" w14:textId="56D28891">
            <w:pPr>
              <w:keepNext/>
              <w:rPr>
                <w:szCs w:val="22"/>
              </w:rPr>
            </w:pPr>
          </w:p>
        </w:tc>
      </w:tr>
      <w:tr w14:paraId="3168E77C" w14:textId="77777777" w:rsidTr="00B428AB">
        <w:tblPrEx>
          <w:tblW w:w="9072" w:type="dxa"/>
          <w:jc w:val="center"/>
          <w:tblLayout w:type="fixed"/>
          <w:tblCellMar>
            <w:left w:w="60" w:type="dxa"/>
            <w:right w:w="60" w:type="dxa"/>
          </w:tblCellMar>
          <w:tblLook w:val="0000"/>
        </w:tblPrEx>
        <w:trPr>
          <w:cantSplit/>
          <w:jc w:val="center"/>
        </w:trPr>
        <w:tc>
          <w:tcPr>
            <w:tcW w:w="2673" w:type="dxa"/>
            <w:vMerge/>
            <w:tcBorders>
              <w:right w:val="single" w:sz="4" w:space="0" w:color="auto"/>
            </w:tcBorders>
          </w:tcPr>
          <w:p w:rsidR="00556247" w:rsidRPr="004E6761" w14:paraId="6090E527" w14:textId="77777777">
            <w:pPr>
              <w:keepNext/>
              <w:rPr>
                <w:b/>
                <w:szCs w:val="22"/>
              </w:rPr>
            </w:pPr>
          </w:p>
        </w:tc>
        <w:tc>
          <w:tcPr>
            <w:tcW w:w="2480" w:type="dxa"/>
            <w:tcBorders>
              <w:left w:val="single" w:sz="4" w:space="0" w:color="auto"/>
              <w:right w:val="single" w:sz="4" w:space="0" w:color="auto"/>
            </w:tcBorders>
          </w:tcPr>
          <w:p w:rsidR="00556247" w:rsidRPr="004E6761" w14:paraId="31B3E8ED" w14:textId="77777777">
            <w:pPr>
              <w:keepNext/>
              <w:rPr>
                <w:szCs w:val="22"/>
              </w:rPr>
            </w:pPr>
            <w:r w:rsidRPr="004E6761">
              <w:rPr>
                <w:szCs w:val="22"/>
              </w:rPr>
              <w:t>Urinary tract infection</w:t>
            </w:r>
          </w:p>
        </w:tc>
        <w:tc>
          <w:tcPr>
            <w:tcW w:w="1542" w:type="dxa"/>
            <w:vMerge w:val="restart"/>
            <w:tcBorders>
              <w:left w:val="single" w:sz="4" w:space="0" w:color="auto"/>
              <w:right w:val="single" w:sz="4" w:space="0" w:color="auto"/>
            </w:tcBorders>
          </w:tcPr>
          <w:p w:rsidR="00556247" w:rsidRPr="004E6761" w14:paraId="5DFBAB2E" w14:textId="77777777">
            <w:pPr>
              <w:keepNext/>
              <w:rPr>
                <w:szCs w:val="22"/>
              </w:rPr>
            </w:pPr>
            <w:r w:rsidRPr="004E6761">
              <w:rPr>
                <w:szCs w:val="22"/>
              </w:rPr>
              <w:t>Common</w:t>
            </w:r>
          </w:p>
        </w:tc>
        <w:tc>
          <w:tcPr>
            <w:tcW w:w="1226" w:type="dxa"/>
            <w:tcBorders>
              <w:left w:val="single" w:sz="4" w:space="0" w:color="auto"/>
              <w:right w:val="single" w:sz="4" w:space="0" w:color="auto"/>
            </w:tcBorders>
            <w:vAlign w:val="bottom"/>
          </w:tcPr>
          <w:p w:rsidR="00556247" w:rsidRPr="004B6FCF" w14:paraId="1AE2F0CF" w14:textId="77777777">
            <w:pPr>
              <w:keepNext/>
              <w:rPr>
                <w:szCs w:val="22"/>
              </w:rPr>
            </w:pPr>
            <w:r w:rsidRPr="004B6FCF">
              <w:rPr>
                <w:szCs w:val="22"/>
              </w:rPr>
              <w:t>8</w:t>
            </w:r>
          </w:p>
        </w:tc>
        <w:tc>
          <w:tcPr>
            <w:tcW w:w="1151" w:type="dxa"/>
            <w:tcBorders>
              <w:left w:val="single" w:sz="4" w:space="0" w:color="auto"/>
            </w:tcBorders>
            <w:vAlign w:val="bottom"/>
          </w:tcPr>
          <w:p w:rsidR="00556247" w:rsidRPr="004B6FCF" w14:paraId="0F3CFAA9" w14:textId="77777777">
            <w:pPr>
              <w:keepNext/>
              <w:rPr>
                <w:szCs w:val="22"/>
              </w:rPr>
            </w:pPr>
            <w:r w:rsidRPr="004B6FCF">
              <w:rPr>
                <w:szCs w:val="22"/>
              </w:rPr>
              <w:t>1</w:t>
            </w:r>
          </w:p>
        </w:tc>
      </w:tr>
      <w:tr w14:paraId="4FF483E2" w14:textId="77777777" w:rsidTr="00B428AB">
        <w:tblPrEx>
          <w:tblW w:w="9072" w:type="dxa"/>
          <w:jc w:val="center"/>
          <w:tblLayout w:type="fixed"/>
          <w:tblCellMar>
            <w:left w:w="60" w:type="dxa"/>
            <w:right w:w="60" w:type="dxa"/>
          </w:tblCellMar>
          <w:tblLook w:val="0000"/>
        </w:tblPrEx>
        <w:trPr>
          <w:cantSplit/>
          <w:trHeight w:val="53"/>
          <w:jc w:val="center"/>
        </w:trPr>
        <w:tc>
          <w:tcPr>
            <w:tcW w:w="2673" w:type="dxa"/>
            <w:vMerge/>
            <w:tcBorders>
              <w:right w:val="single" w:sz="4" w:space="0" w:color="auto"/>
            </w:tcBorders>
          </w:tcPr>
          <w:p w:rsidR="00556247" w:rsidRPr="004E6761" w14:paraId="20853B78" w14:textId="77777777">
            <w:pPr>
              <w:keepNext/>
              <w:rPr>
                <w:b/>
                <w:szCs w:val="22"/>
              </w:rPr>
            </w:pPr>
          </w:p>
        </w:tc>
        <w:tc>
          <w:tcPr>
            <w:tcW w:w="2480" w:type="dxa"/>
            <w:tcBorders>
              <w:left w:val="single" w:sz="4" w:space="0" w:color="auto"/>
              <w:right w:val="single" w:sz="4" w:space="0" w:color="auto"/>
            </w:tcBorders>
          </w:tcPr>
          <w:p w:rsidR="00556247" w:rsidRPr="004E6761" w14:paraId="32471FA5" w14:textId="65CE117E">
            <w:pPr>
              <w:keepNext/>
              <w:rPr>
                <w:szCs w:val="22"/>
              </w:rPr>
            </w:pPr>
          </w:p>
        </w:tc>
        <w:tc>
          <w:tcPr>
            <w:tcW w:w="1542" w:type="dxa"/>
            <w:vMerge/>
            <w:tcBorders>
              <w:left w:val="single" w:sz="4" w:space="0" w:color="auto"/>
              <w:right w:val="single" w:sz="4" w:space="0" w:color="auto"/>
            </w:tcBorders>
            <w:vAlign w:val="bottom"/>
          </w:tcPr>
          <w:p w:rsidR="00556247" w:rsidRPr="004E6761" w14:paraId="6D95C77E" w14:textId="77777777">
            <w:pPr>
              <w:keepNext/>
              <w:rPr>
                <w:szCs w:val="22"/>
              </w:rPr>
            </w:pPr>
          </w:p>
        </w:tc>
        <w:tc>
          <w:tcPr>
            <w:tcW w:w="1226" w:type="dxa"/>
            <w:tcBorders>
              <w:left w:val="single" w:sz="4" w:space="0" w:color="auto"/>
              <w:right w:val="single" w:sz="4" w:space="0" w:color="auto"/>
            </w:tcBorders>
            <w:vAlign w:val="bottom"/>
          </w:tcPr>
          <w:p w:rsidR="00556247" w:rsidRPr="004B6FCF" w14:paraId="261322B6" w14:textId="2D82016A">
            <w:pPr>
              <w:keepNext/>
              <w:rPr>
                <w:szCs w:val="22"/>
              </w:rPr>
            </w:pPr>
          </w:p>
        </w:tc>
        <w:tc>
          <w:tcPr>
            <w:tcW w:w="1151" w:type="dxa"/>
            <w:tcBorders>
              <w:left w:val="single" w:sz="4" w:space="0" w:color="auto"/>
            </w:tcBorders>
            <w:vAlign w:val="bottom"/>
          </w:tcPr>
          <w:p w:rsidR="00556247" w:rsidRPr="004B6FCF" w14:paraId="4727765C" w14:textId="6F7D15E6">
            <w:pPr>
              <w:keepNext/>
              <w:rPr>
                <w:szCs w:val="22"/>
              </w:rPr>
            </w:pPr>
          </w:p>
        </w:tc>
      </w:tr>
      <w:tr w14:paraId="71A5C715" w14:textId="77777777" w:rsidTr="00B428AB">
        <w:tblPrEx>
          <w:tblW w:w="9072" w:type="dxa"/>
          <w:jc w:val="center"/>
          <w:tblLayout w:type="fixed"/>
          <w:tblCellMar>
            <w:left w:w="60" w:type="dxa"/>
            <w:right w:w="60" w:type="dxa"/>
          </w:tblCellMar>
          <w:tblLook w:val="0000"/>
        </w:tblPrEx>
        <w:trPr>
          <w:cantSplit/>
          <w:jc w:val="center"/>
        </w:trPr>
        <w:tc>
          <w:tcPr>
            <w:tcW w:w="2673" w:type="dxa"/>
            <w:vMerge/>
            <w:tcBorders>
              <w:right w:val="single" w:sz="4" w:space="0" w:color="auto"/>
            </w:tcBorders>
          </w:tcPr>
          <w:p w:rsidR="00556247" w:rsidRPr="004E6761" w14:paraId="7274547C" w14:textId="77777777">
            <w:pPr>
              <w:keepNext/>
              <w:rPr>
                <w:b/>
                <w:szCs w:val="22"/>
              </w:rPr>
            </w:pPr>
          </w:p>
        </w:tc>
        <w:tc>
          <w:tcPr>
            <w:tcW w:w="2480" w:type="dxa"/>
            <w:tcBorders>
              <w:left w:val="single" w:sz="4" w:space="0" w:color="auto"/>
              <w:right w:val="single" w:sz="4" w:space="0" w:color="auto"/>
            </w:tcBorders>
          </w:tcPr>
          <w:p w:rsidR="00556247" w:rsidRPr="004E6761" w14:paraId="73D9FBA6" w14:textId="77777777">
            <w:pPr>
              <w:keepNext/>
              <w:rPr>
                <w:szCs w:val="22"/>
              </w:rPr>
            </w:pPr>
            <w:r w:rsidRPr="004E6761">
              <w:rPr>
                <w:szCs w:val="22"/>
              </w:rPr>
              <w:t>Sepsis</w:t>
            </w:r>
            <w:r w:rsidRPr="004E6761">
              <w:rPr>
                <w:szCs w:val="22"/>
                <w:vertAlign w:val="superscript"/>
              </w:rPr>
              <w:t>a</w:t>
            </w:r>
          </w:p>
        </w:tc>
        <w:tc>
          <w:tcPr>
            <w:tcW w:w="1542" w:type="dxa"/>
            <w:vMerge/>
            <w:tcBorders>
              <w:left w:val="single" w:sz="4" w:space="0" w:color="auto"/>
              <w:right w:val="single" w:sz="4" w:space="0" w:color="auto"/>
            </w:tcBorders>
            <w:vAlign w:val="bottom"/>
          </w:tcPr>
          <w:p w:rsidR="00556247" w:rsidRPr="004E6761" w14:paraId="0C981102" w14:textId="77777777">
            <w:pPr>
              <w:keepNext/>
              <w:rPr>
                <w:szCs w:val="22"/>
              </w:rPr>
            </w:pPr>
          </w:p>
        </w:tc>
        <w:tc>
          <w:tcPr>
            <w:tcW w:w="1226" w:type="dxa"/>
            <w:tcBorders>
              <w:left w:val="single" w:sz="4" w:space="0" w:color="auto"/>
              <w:right w:val="single" w:sz="4" w:space="0" w:color="auto"/>
            </w:tcBorders>
            <w:vAlign w:val="bottom"/>
          </w:tcPr>
          <w:p w:rsidR="00556247" w:rsidRPr="004B6FCF" w14:paraId="40D13D63" w14:textId="77777777">
            <w:pPr>
              <w:keepNext/>
              <w:rPr>
                <w:szCs w:val="22"/>
              </w:rPr>
            </w:pPr>
            <w:r w:rsidRPr="004B6FCF">
              <w:rPr>
                <w:szCs w:val="22"/>
              </w:rPr>
              <w:t>4</w:t>
            </w:r>
          </w:p>
        </w:tc>
        <w:tc>
          <w:tcPr>
            <w:tcW w:w="1151" w:type="dxa"/>
            <w:tcBorders>
              <w:left w:val="single" w:sz="4" w:space="0" w:color="auto"/>
            </w:tcBorders>
            <w:vAlign w:val="bottom"/>
          </w:tcPr>
          <w:p w:rsidR="00556247" w:rsidRPr="004B6FCF" w14:paraId="362CD9A1" w14:textId="77777777">
            <w:pPr>
              <w:keepNext/>
              <w:rPr>
                <w:szCs w:val="22"/>
              </w:rPr>
            </w:pPr>
            <w:r w:rsidRPr="004B6FCF">
              <w:rPr>
                <w:szCs w:val="22"/>
              </w:rPr>
              <w:t>4</w:t>
            </w:r>
          </w:p>
        </w:tc>
      </w:tr>
      <w:tr w14:paraId="32C7906C" w14:textId="77777777" w:rsidTr="00B428AB">
        <w:tblPrEx>
          <w:tblW w:w="9072" w:type="dxa"/>
          <w:jc w:val="center"/>
          <w:tblLayout w:type="fixed"/>
          <w:tblCellMar>
            <w:left w:w="60" w:type="dxa"/>
            <w:right w:w="60" w:type="dxa"/>
          </w:tblCellMar>
          <w:tblLook w:val="0000"/>
        </w:tblPrEx>
        <w:trPr>
          <w:cantSplit/>
          <w:jc w:val="center"/>
        </w:trPr>
        <w:tc>
          <w:tcPr>
            <w:tcW w:w="2673" w:type="dxa"/>
            <w:vMerge/>
            <w:tcBorders>
              <w:right w:val="single" w:sz="4" w:space="0" w:color="auto"/>
            </w:tcBorders>
          </w:tcPr>
          <w:p w:rsidR="00556247" w:rsidRPr="004E6761" w14:paraId="7FD36969" w14:textId="77777777">
            <w:pPr>
              <w:keepNext/>
              <w:rPr>
                <w:b/>
                <w:szCs w:val="22"/>
              </w:rPr>
            </w:pPr>
          </w:p>
        </w:tc>
        <w:tc>
          <w:tcPr>
            <w:tcW w:w="2480" w:type="dxa"/>
            <w:tcBorders>
              <w:left w:val="single" w:sz="4" w:space="0" w:color="auto"/>
              <w:right w:val="single" w:sz="4" w:space="0" w:color="auto"/>
            </w:tcBorders>
          </w:tcPr>
          <w:p w:rsidR="00556247" w:rsidRPr="004E6761" w14:paraId="6C7FD9DA" w14:textId="77777777">
            <w:pPr>
              <w:keepNext/>
              <w:rPr>
                <w:szCs w:val="22"/>
              </w:rPr>
            </w:pPr>
            <w:r w:rsidRPr="004E6761">
              <w:rPr>
                <w:szCs w:val="22"/>
              </w:rPr>
              <w:t>Cytomegalovirus infection</w:t>
            </w:r>
            <w:r w:rsidRPr="004E6761">
              <w:rPr>
                <w:szCs w:val="22"/>
                <w:vertAlign w:val="superscript"/>
              </w:rPr>
              <w:t>a</w:t>
            </w:r>
          </w:p>
        </w:tc>
        <w:tc>
          <w:tcPr>
            <w:tcW w:w="1542" w:type="dxa"/>
            <w:vMerge/>
            <w:tcBorders>
              <w:left w:val="single" w:sz="4" w:space="0" w:color="auto"/>
              <w:right w:val="single" w:sz="4" w:space="0" w:color="auto"/>
            </w:tcBorders>
            <w:vAlign w:val="bottom"/>
          </w:tcPr>
          <w:p w:rsidR="00556247" w:rsidRPr="004E6761" w14:paraId="7FD57202" w14:textId="77777777">
            <w:pPr>
              <w:keepNext/>
              <w:rPr>
                <w:szCs w:val="22"/>
              </w:rPr>
            </w:pPr>
          </w:p>
        </w:tc>
        <w:tc>
          <w:tcPr>
            <w:tcW w:w="1226" w:type="dxa"/>
            <w:tcBorders>
              <w:left w:val="single" w:sz="4" w:space="0" w:color="auto"/>
              <w:right w:val="single" w:sz="4" w:space="0" w:color="auto"/>
            </w:tcBorders>
            <w:vAlign w:val="bottom"/>
          </w:tcPr>
          <w:p w:rsidR="00556247" w:rsidRPr="004B6FCF" w14:paraId="3A83B3A2" w14:textId="77777777">
            <w:pPr>
              <w:keepNext/>
              <w:rPr>
                <w:szCs w:val="22"/>
              </w:rPr>
            </w:pPr>
            <w:r w:rsidRPr="004B6FCF">
              <w:rPr>
                <w:szCs w:val="22"/>
              </w:rPr>
              <w:t>1</w:t>
            </w:r>
          </w:p>
        </w:tc>
        <w:tc>
          <w:tcPr>
            <w:tcW w:w="1151" w:type="dxa"/>
            <w:tcBorders>
              <w:left w:val="single" w:sz="4" w:space="0" w:color="auto"/>
            </w:tcBorders>
            <w:vAlign w:val="bottom"/>
          </w:tcPr>
          <w:p w:rsidR="00556247" w:rsidRPr="004B6FCF" w14:paraId="698F1FE5" w14:textId="77777777">
            <w:pPr>
              <w:keepNext/>
              <w:rPr>
                <w:szCs w:val="22"/>
              </w:rPr>
            </w:pPr>
            <w:r w:rsidRPr="004B6FCF">
              <w:rPr>
                <w:szCs w:val="22"/>
              </w:rPr>
              <w:t>&lt;1*</w:t>
            </w:r>
          </w:p>
        </w:tc>
      </w:tr>
      <w:tr w14:paraId="23F9EF7C" w14:textId="77777777" w:rsidTr="00B428AB">
        <w:tblPrEx>
          <w:tblW w:w="9072" w:type="dxa"/>
          <w:jc w:val="center"/>
          <w:tblLayout w:type="fixed"/>
          <w:tblCellMar>
            <w:left w:w="60" w:type="dxa"/>
            <w:right w:w="60" w:type="dxa"/>
          </w:tblCellMar>
          <w:tblLook w:val="0000"/>
        </w:tblPrEx>
        <w:trPr>
          <w:cantSplit/>
          <w:jc w:val="center"/>
        </w:trPr>
        <w:tc>
          <w:tcPr>
            <w:tcW w:w="2673" w:type="dxa"/>
            <w:vMerge/>
            <w:tcBorders>
              <w:right w:val="single" w:sz="4" w:space="0" w:color="auto"/>
            </w:tcBorders>
          </w:tcPr>
          <w:p w:rsidR="00556247" w:rsidRPr="004E6761" w:rsidP="00724261" w14:paraId="79FBECF1" w14:textId="77777777">
            <w:pPr>
              <w:keepNext/>
              <w:rPr>
                <w:b/>
                <w:szCs w:val="22"/>
              </w:rPr>
            </w:pPr>
          </w:p>
        </w:tc>
        <w:tc>
          <w:tcPr>
            <w:tcW w:w="2480" w:type="dxa"/>
            <w:tcBorders>
              <w:left w:val="single" w:sz="4" w:space="0" w:color="auto"/>
              <w:right w:val="single" w:sz="4" w:space="0" w:color="auto"/>
            </w:tcBorders>
          </w:tcPr>
          <w:p w:rsidR="00556247" w:rsidRPr="004E6761" w:rsidP="00724261" w14:paraId="50BDE3DE" w14:textId="108421C9">
            <w:pPr>
              <w:keepNext/>
              <w:rPr>
                <w:szCs w:val="22"/>
              </w:rPr>
            </w:pPr>
          </w:p>
        </w:tc>
        <w:tc>
          <w:tcPr>
            <w:tcW w:w="1542" w:type="dxa"/>
            <w:vMerge/>
            <w:tcBorders>
              <w:left w:val="single" w:sz="4" w:space="0" w:color="auto"/>
              <w:right w:val="single" w:sz="4" w:space="0" w:color="auto"/>
            </w:tcBorders>
          </w:tcPr>
          <w:p w:rsidR="00556247" w:rsidRPr="004E6761" w:rsidP="00724261" w14:paraId="1FDBA17A" w14:textId="4DD27B53">
            <w:pPr>
              <w:keepNext/>
              <w:rPr>
                <w:szCs w:val="22"/>
              </w:rPr>
            </w:pPr>
          </w:p>
        </w:tc>
        <w:tc>
          <w:tcPr>
            <w:tcW w:w="1226" w:type="dxa"/>
            <w:tcBorders>
              <w:left w:val="single" w:sz="4" w:space="0" w:color="auto"/>
              <w:right w:val="single" w:sz="4" w:space="0" w:color="auto"/>
            </w:tcBorders>
          </w:tcPr>
          <w:p w:rsidR="00556247" w:rsidRPr="004B6FCF" w:rsidP="00724261" w14:paraId="47CE9964" w14:textId="3810D903">
            <w:pPr>
              <w:keepNext/>
              <w:rPr>
                <w:szCs w:val="22"/>
              </w:rPr>
            </w:pPr>
          </w:p>
        </w:tc>
        <w:tc>
          <w:tcPr>
            <w:tcW w:w="1151" w:type="dxa"/>
            <w:tcBorders>
              <w:left w:val="single" w:sz="4" w:space="0" w:color="auto"/>
            </w:tcBorders>
          </w:tcPr>
          <w:p w:rsidR="00556247" w:rsidRPr="004B6FCF" w:rsidP="00724261" w14:paraId="5BDF6386" w14:textId="79621C62">
            <w:pPr>
              <w:keepNext/>
              <w:rPr>
                <w:szCs w:val="22"/>
              </w:rPr>
            </w:pPr>
          </w:p>
        </w:tc>
      </w:tr>
      <w:tr w14:paraId="630FCDEC" w14:textId="77777777" w:rsidTr="00B428AB">
        <w:tblPrEx>
          <w:tblW w:w="9072" w:type="dxa"/>
          <w:jc w:val="center"/>
          <w:tblLayout w:type="fixed"/>
          <w:tblCellMar>
            <w:left w:w="60" w:type="dxa"/>
            <w:right w:w="60" w:type="dxa"/>
          </w:tblCellMar>
          <w:tblLook w:val="0000"/>
        </w:tblPrEx>
        <w:trPr>
          <w:cantSplit/>
          <w:jc w:val="center"/>
        </w:trPr>
        <w:tc>
          <w:tcPr>
            <w:tcW w:w="2673" w:type="dxa"/>
            <w:vMerge/>
            <w:tcBorders>
              <w:right w:val="single" w:sz="4" w:space="0" w:color="auto"/>
            </w:tcBorders>
          </w:tcPr>
          <w:p w:rsidR="007E2BC7" w:rsidRPr="004E6761" w14:paraId="2CFC5F38" w14:textId="77777777">
            <w:pPr>
              <w:keepNext/>
              <w:rPr>
                <w:b/>
                <w:szCs w:val="22"/>
              </w:rPr>
            </w:pPr>
          </w:p>
        </w:tc>
        <w:tc>
          <w:tcPr>
            <w:tcW w:w="2480" w:type="dxa"/>
            <w:tcBorders>
              <w:left w:val="single" w:sz="4" w:space="0" w:color="auto"/>
              <w:right w:val="single" w:sz="4" w:space="0" w:color="auto"/>
            </w:tcBorders>
          </w:tcPr>
          <w:p w:rsidR="007E2BC7" w:rsidRPr="004E6761" w14:paraId="68DDB4F8" w14:textId="77777777">
            <w:pPr>
              <w:keepNext/>
              <w:rPr>
                <w:szCs w:val="22"/>
              </w:rPr>
            </w:pPr>
            <w:r w:rsidRPr="004E6761">
              <w:rPr>
                <w:szCs w:val="22"/>
              </w:rPr>
              <w:t>Hepatitis B Virus reactivation</w:t>
            </w:r>
            <w:r w:rsidRPr="004E6761">
              <w:rPr>
                <w:szCs w:val="22"/>
                <w:vertAlign w:val="superscript"/>
              </w:rPr>
              <w:t>b</w:t>
            </w:r>
          </w:p>
        </w:tc>
        <w:tc>
          <w:tcPr>
            <w:tcW w:w="1542" w:type="dxa"/>
            <w:tcBorders>
              <w:left w:val="single" w:sz="4" w:space="0" w:color="auto"/>
              <w:right w:val="single" w:sz="4" w:space="0" w:color="auto"/>
            </w:tcBorders>
          </w:tcPr>
          <w:p w:rsidR="007E2BC7" w:rsidRPr="004E6761" w14:paraId="1C746ED4" w14:textId="77777777">
            <w:pPr>
              <w:keepNext/>
              <w:rPr>
                <w:szCs w:val="22"/>
              </w:rPr>
            </w:pPr>
            <w:r w:rsidRPr="004E6761">
              <w:rPr>
                <w:szCs w:val="22"/>
              </w:rPr>
              <w:t>Uncommon</w:t>
            </w:r>
          </w:p>
        </w:tc>
        <w:tc>
          <w:tcPr>
            <w:tcW w:w="1226" w:type="dxa"/>
            <w:tcBorders>
              <w:left w:val="single" w:sz="4" w:space="0" w:color="auto"/>
              <w:right w:val="single" w:sz="4" w:space="0" w:color="auto"/>
            </w:tcBorders>
          </w:tcPr>
          <w:p w:rsidR="007E2BC7" w:rsidRPr="004B6FCF" w14:paraId="39CC8199" w14:textId="77777777">
            <w:pPr>
              <w:keepNext/>
              <w:rPr>
                <w:szCs w:val="22"/>
              </w:rPr>
            </w:pPr>
            <w:r w:rsidRPr="004B6FCF">
              <w:rPr>
                <w:szCs w:val="22"/>
              </w:rPr>
              <w:t>-</w:t>
            </w:r>
          </w:p>
        </w:tc>
        <w:tc>
          <w:tcPr>
            <w:tcW w:w="1151" w:type="dxa"/>
            <w:tcBorders>
              <w:left w:val="single" w:sz="4" w:space="0" w:color="auto"/>
            </w:tcBorders>
          </w:tcPr>
          <w:p w:rsidR="007E2BC7" w:rsidRPr="004B6FCF" w14:paraId="7594A877" w14:textId="77777777">
            <w:pPr>
              <w:keepNext/>
              <w:rPr>
                <w:szCs w:val="22"/>
              </w:rPr>
            </w:pPr>
            <w:r w:rsidRPr="004B6FCF">
              <w:rPr>
                <w:szCs w:val="22"/>
              </w:rPr>
              <w:t>-</w:t>
            </w:r>
          </w:p>
        </w:tc>
      </w:tr>
      <w:tr w14:paraId="3BC61885" w14:textId="77777777" w:rsidTr="00B428AB">
        <w:tblPrEx>
          <w:tblW w:w="9072" w:type="dxa"/>
          <w:jc w:val="center"/>
          <w:tblLayout w:type="fixed"/>
          <w:tblCellMar>
            <w:left w:w="60" w:type="dxa"/>
            <w:right w:w="60" w:type="dxa"/>
          </w:tblCellMar>
          <w:tblLook w:val="0000"/>
        </w:tblPrEx>
        <w:trPr>
          <w:cantSplit/>
          <w:jc w:val="center"/>
        </w:trPr>
        <w:tc>
          <w:tcPr>
            <w:tcW w:w="2673" w:type="dxa"/>
            <w:vMerge w:val="restart"/>
            <w:tcBorders>
              <w:right w:val="single" w:sz="4" w:space="0" w:color="auto"/>
            </w:tcBorders>
          </w:tcPr>
          <w:p w:rsidR="007E2BC7" w:rsidRPr="004E6761" w14:paraId="705BB7C4" w14:textId="77777777">
            <w:pPr>
              <w:keepNext/>
              <w:rPr>
                <w:b/>
                <w:szCs w:val="22"/>
              </w:rPr>
            </w:pPr>
            <w:r w:rsidRPr="004E6761">
              <w:rPr>
                <w:b/>
                <w:szCs w:val="22"/>
              </w:rPr>
              <w:t>Blood and lymphatic system disorders</w:t>
            </w:r>
          </w:p>
        </w:tc>
        <w:tc>
          <w:tcPr>
            <w:tcW w:w="2480" w:type="dxa"/>
            <w:tcBorders>
              <w:left w:val="single" w:sz="4" w:space="0" w:color="auto"/>
              <w:right w:val="single" w:sz="4" w:space="0" w:color="auto"/>
            </w:tcBorders>
          </w:tcPr>
          <w:p w:rsidR="007E2BC7" w:rsidRPr="004E6761" w14:paraId="09A5BCAA" w14:textId="77777777">
            <w:pPr>
              <w:keepNext/>
              <w:rPr>
                <w:szCs w:val="22"/>
              </w:rPr>
            </w:pPr>
            <w:r w:rsidRPr="004E6761">
              <w:rPr>
                <w:szCs w:val="22"/>
              </w:rPr>
              <w:t>Neutropenia</w:t>
            </w:r>
            <w:r w:rsidRPr="004E6761">
              <w:rPr>
                <w:szCs w:val="22"/>
                <w:vertAlign w:val="superscript"/>
              </w:rPr>
              <w:t>a</w:t>
            </w:r>
          </w:p>
        </w:tc>
        <w:tc>
          <w:tcPr>
            <w:tcW w:w="1542" w:type="dxa"/>
            <w:vMerge w:val="restart"/>
            <w:tcBorders>
              <w:left w:val="single" w:sz="4" w:space="0" w:color="auto"/>
              <w:right w:val="single" w:sz="4" w:space="0" w:color="auto"/>
            </w:tcBorders>
          </w:tcPr>
          <w:p w:rsidR="007E2BC7" w:rsidRPr="004E6761" w14:paraId="36436CF2" w14:textId="77777777">
            <w:pPr>
              <w:keepNext/>
              <w:rPr>
                <w:szCs w:val="22"/>
              </w:rPr>
            </w:pPr>
            <w:r w:rsidRPr="004E6761">
              <w:rPr>
                <w:szCs w:val="22"/>
              </w:rPr>
              <w:t>Very common</w:t>
            </w:r>
          </w:p>
        </w:tc>
        <w:tc>
          <w:tcPr>
            <w:tcW w:w="1226" w:type="dxa"/>
            <w:tcBorders>
              <w:left w:val="single" w:sz="4" w:space="0" w:color="auto"/>
              <w:right w:val="single" w:sz="4" w:space="0" w:color="auto"/>
            </w:tcBorders>
            <w:vAlign w:val="bottom"/>
          </w:tcPr>
          <w:p w:rsidR="007E2BC7" w:rsidRPr="004B6FCF" w14:paraId="53B759AD" w14:textId="77777777">
            <w:pPr>
              <w:keepNext/>
              <w:rPr>
                <w:szCs w:val="22"/>
              </w:rPr>
            </w:pPr>
            <w:r w:rsidRPr="004B6FCF">
              <w:rPr>
                <w:szCs w:val="22"/>
              </w:rPr>
              <w:t>44</w:t>
            </w:r>
          </w:p>
        </w:tc>
        <w:tc>
          <w:tcPr>
            <w:tcW w:w="1151" w:type="dxa"/>
            <w:tcBorders>
              <w:left w:val="single" w:sz="4" w:space="0" w:color="auto"/>
            </w:tcBorders>
            <w:vAlign w:val="bottom"/>
          </w:tcPr>
          <w:p w:rsidR="007E2BC7" w:rsidRPr="004B6FCF" w14:paraId="3BF832EA" w14:textId="77777777">
            <w:pPr>
              <w:keepNext/>
              <w:rPr>
                <w:szCs w:val="22"/>
              </w:rPr>
            </w:pPr>
            <w:r w:rsidRPr="004B6FCF">
              <w:rPr>
                <w:szCs w:val="22"/>
              </w:rPr>
              <w:t>39</w:t>
            </w:r>
          </w:p>
        </w:tc>
      </w:tr>
      <w:tr w14:paraId="42D12901" w14:textId="77777777" w:rsidTr="00B428AB">
        <w:tblPrEx>
          <w:tblW w:w="9072" w:type="dxa"/>
          <w:jc w:val="center"/>
          <w:tblLayout w:type="fixed"/>
          <w:tblCellMar>
            <w:left w:w="60" w:type="dxa"/>
            <w:right w:w="60" w:type="dxa"/>
          </w:tblCellMar>
          <w:tblLook w:val="0000"/>
        </w:tblPrEx>
        <w:trPr>
          <w:cantSplit/>
          <w:jc w:val="center"/>
        </w:trPr>
        <w:tc>
          <w:tcPr>
            <w:tcW w:w="2673" w:type="dxa"/>
            <w:vMerge/>
            <w:tcBorders>
              <w:right w:val="single" w:sz="4" w:space="0" w:color="auto"/>
            </w:tcBorders>
          </w:tcPr>
          <w:p w:rsidR="007E2BC7" w:rsidRPr="004E6761" w14:paraId="39A7742B" w14:textId="77777777">
            <w:pPr>
              <w:keepNext/>
              <w:rPr>
                <w:b/>
                <w:szCs w:val="22"/>
              </w:rPr>
            </w:pPr>
          </w:p>
        </w:tc>
        <w:tc>
          <w:tcPr>
            <w:tcW w:w="2480" w:type="dxa"/>
            <w:tcBorders>
              <w:left w:val="single" w:sz="4" w:space="0" w:color="auto"/>
              <w:right w:val="single" w:sz="4" w:space="0" w:color="auto"/>
            </w:tcBorders>
          </w:tcPr>
          <w:p w:rsidR="007E2BC7" w:rsidRPr="004E6761" w14:paraId="682064E5" w14:textId="77777777">
            <w:pPr>
              <w:keepNext/>
              <w:rPr>
                <w:szCs w:val="22"/>
              </w:rPr>
            </w:pPr>
            <w:r w:rsidRPr="004E6761">
              <w:rPr>
                <w:szCs w:val="22"/>
              </w:rPr>
              <w:t>Thrombocytopenia</w:t>
            </w:r>
            <w:r w:rsidRPr="004E6761">
              <w:rPr>
                <w:szCs w:val="22"/>
                <w:vertAlign w:val="superscript"/>
              </w:rPr>
              <w:t>a</w:t>
            </w:r>
          </w:p>
        </w:tc>
        <w:tc>
          <w:tcPr>
            <w:tcW w:w="1542" w:type="dxa"/>
            <w:vMerge/>
            <w:tcBorders>
              <w:left w:val="single" w:sz="4" w:space="0" w:color="auto"/>
              <w:right w:val="single" w:sz="4" w:space="0" w:color="auto"/>
            </w:tcBorders>
          </w:tcPr>
          <w:p w:rsidR="007E2BC7" w:rsidRPr="004E6761" w14:paraId="3DCB85C6" w14:textId="77777777">
            <w:pPr>
              <w:keepNext/>
              <w:rPr>
                <w:szCs w:val="22"/>
              </w:rPr>
            </w:pPr>
          </w:p>
        </w:tc>
        <w:tc>
          <w:tcPr>
            <w:tcW w:w="1226" w:type="dxa"/>
            <w:tcBorders>
              <w:left w:val="single" w:sz="4" w:space="0" w:color="auto"/>
              <w:right w:val="single" w:sz="4" w:space="0" w:color="auto"/>
            </w:tcBorders>
            <w:vAlign w:val="bottom"/>
          </w:tcPr>
          <w:p w:rsidR="007E2BC7" w:rsidRPr="004B6FCF" w14:paraId="43D7DBF0" w14:textId="77777777">
            <w:pPr>
              <w:keepNext/>
              <w:rPr>
                <w:szCs w:val="22"/>
              </w:rPr>
            </w:pPr>
            <w:r w:rsidRPr="004B6FCF">
              <w:rPr>
                <w:szCs w:val="22"/>
              </w:rPr>
              <w:t>31</w:t>
            </w:r>
          </w:p>
        </w:tc>
        <w:tc>
          <w:tcPr>
            <w:tcW w:w="1151" w:type="dxa"/>
            <w:tcBorders>
              <w:left w:val="single" w:sz="4" w:space="0" w:color="auto"/>
            </w:tcBorders>
            <w:vAlign w:val="bottom"/>
          </w:tcPr>
          <w:p w:rsidR="007E2BC7" w:rsidRPr="004B6FCF" w14:paraId="4B1D6C50" w14:textId="77777777">
            <w:pPr>
              <w:keepNext/>
              <w:rPr>
                <w:szCs w:val="22"/>
              </w:rPr>
            </w:pPr>
            <w:r w:rsidRPr="004B6FCF">
              <w:rPr>
                <w:szCs w:val="22"/>
              </w:rPr>
              <w:t>19</w:t>
            </w:r>
          </w:p>
        </w:tc>
      </w:tr>
      <w:tr w14:paraId="4C85FE5E" w14:textId="77777777" w:rsidTr="00B428AB">
        <w:tblPrEx>
          <w:tblW w:w="9072" w:type="dxa"/>
          <w:jc w:val="center"/>
          <w:tblLayout w:type="fixed"/>
          <w:tblCellMar>
            <w:left w:w="60" w:type="dxa"/>
            <w:right w:w="60" w:type="dxa"/>
          </w:tblCellMar>
          <w:tblLook w:val="0000"/>
        </w:tblPrEx>
        <w:trPr>
          <w:cantSplit/>
          <w:jc w:val="center"/>
        </w:trPr>
        <w:tc>
          <w:tcPr>
            <w:tcW w:w="2673" w:type="dxa"/>
            <w:vMerge/>
            <w:tcBorders>
              <w:right w:val="single" w:sz="4" w:space="0" w:color="auto"/>
            </w:tcBorders>
          </w:tcPr>
          <w:p w:rsidR="007E2BC7" w:rsidRPr="004E6761" w14:paraId="6D1EF370" w14:textId="77777777">
            <w:pPr>
              <w:keepNext/>
              <w:rPr>
                <w:b/>
                <w:szCs w:val="22"/>
              </w:rPr>
            </w:pPr>
          </w:p>
        </w:tc>
        <w:tc>
          <w:tcPr>
            <w:tcW w:w="2480" w:type="dxa"/>
            <w:tcBorders>
              <w:left w:val="single" w:sz="4" w:space="0" w:color="auto"/>
              <w:right w:val="single" w:sz="4" w:space="0" w:color="auto"/>
            </w:tcBorders>
          </w:tcPr>
          <w:p w:rsidR="007E2BC7" w:rsidRPr="004E6761" w14:paraId="576DF4FD" w14:textId="77777777">
            <w:pPr>
              <w:keepNext/>
              <w:rPr>
                <w:szCs w:val="22"/>
              </w:rPr>
            </w:pPr>
            <w:r w:rsidRPr="004E6761">
              <w:rPr>
                <w:szCs w:val="22"/>
              </w:rPr>
              <w:t>Anaemia</w:t>
            </w:r>
            <w:r w:rsidRPr="004E6761">
              <w:rPr>
                <w:szCs w:val="22"/>
                <w:vertAlign w:val="superscript"/>
              </w:rPr>
              <w:t>a</w:t>
            </w:r>
          </w:p>
        </w:tc>
        <w:tc>
          <w:tcPr>
            <w:tcW w:w="1542" w:type="dxa"/>
            <w:vMerge/>
            <w:tcBorders>
              <w:left w:val="single" w:sz="4" w:space="0" w:color="auto"/>
              <w:right w:val="single" w:sz="4" w:space="0" w:color="auto"/>
            </w:tcBorders>
          </w:tcPr>
          <w:p w:rsidR="007E2BC7" w:rsidRPr="004E6761" w14:paraId="305C7DEE" w14:textId="77777777">
            <w:pPr>
              <w:keepNext/>
              <w:rPr>
                <w:szCs w:val="22"/>
              </w:rPr>
            </w:pPr>
          </w:p>
        </w:tc>
        <w:tc>
          <w:tcPr>
            <w:tcW w:w="1226" w:type="dxa"/>
            <w:tcBorders>
              <w:left w:val="single" w:sz="4" w:space="0" w:color="auto"/>
              <w:right w:val="single" w:sz="4" w:space="0" w:color="auto"/>
            </w:tcBorders>
            <w:vAlign w:val="bottom"/>
          </w:tcPr>
          <w:p w:rsidR="007E2BC7" w:rsidRPr="004B6FCF" w14:paraId="6757DC24" w14:textId="77777777">
            <w:pPr>
              <w:keepNext/>
              <w:rPr>
                <w:szCs w:val="22"/>
              </w:rPr>
            </w:pPr>
            <w:r w:rsidRPr="004B6FCF">
              <w:rPr>
                <w:szCs w:val="22"/>
              </w:rPr>
              <w:t>27</w:t>
            </w:r>
          </w:p>
        </w:tc>
        <w:tc>
          <w:tcPr>
            <w:tcW w:w="1151" w:type="dxa"/>
            <w:tcBorders>
              <w:left w:val="single" w:sz="4" w:space="0" w:color="auto"/>
            </w:tcBorders>
            <w:vAlign w:val="bottom"/>
          </w:tcPr>
          <w:p w:rsidR="007E2BC7" w:rsidRPr="004B6FCF" w14:paraId="30A53243" w14:textId="77777777">
            <w:pPr>
              <w:keepNext/>
              <w:rPr>
                <w:szCs w:val="22"/>
              </w:rPr>
            </w:pPr>
            <w:r w:rsidRPr="004B6FCF">
              <w:rPr>
                <w:szCs w:val="22"/>
              </w:rPr>
              <w:t>12</w:t>
            </w:r>
          </w:p>
        </w:tc>
      </w:tr>
      <w:tr w14:paraId="1281D40B" w14:textId="77777777" w:rsidTr="00B428AB">
        <w:tblPrEx>
          <w:tblW w:w="9072" w:type="dxa"/>
          <w:jc w:val="center"/>
          <w:tblLayout w:type="fixed"/>
          <w:tblCellMar>
            <w:left w:w="60" w:type="dxa"/>
            <w:right w:w="60" w:type="dxa"/>
          </w:tblCellMar>
          <w:tblLook w:val="0000"/>
        </w:tblPrEx>
        <w:trPr>
          <w:cantSplit/>
          <w:jc w:val="center"/>
        </w:trPr>
        <w:tc>
          <w:tcPr>
            <w:tcW w:w="2673" w:type="dxa"/>
            <w:vMerge/>
            <w:tcBorders>
              <w:right w:val="single" w:sz="4" w:space="0" w:color="auto"/>
            </w:tcBorders>
          </w:tcPr>
          <w:p w:rsidR="007E2BC7" w:rsidRPr="004E6761" w14:paraId="4B7C47AC" w14:textId="77777777">
            <w:pPr>
              <w:keepNext/>
              <w:rPr>
                <w:b/>
                <w:szCs w:val="22"/>
              </w:rPr>
            </w:pPr>
          </w:p>
        </w:tc>
        <w:tc>
          <w:tcPr>
            <w:tcW w:w="2480" w:type="dxa"/>
            <w:tcBorders>
              <w:left w:val="single" w:sz="4" w:space="0" w:color="auto"/>
              <w:right w:val="single" w:sz="4" w:space="0" w:color="auto"/>
            </w:tcBorders>
          </w:tcPr>
          <w:p w:rsidR="007E2BC7" w:rsidRPr="004E6761" w14:paraId="79D65E0F" w14:textId="77777777">
            <w:pPr>
              <w:keepNext/>
              <w:rPr>
                <w:szCs w:val="22"/>
              </w:rPr>
            </w:pPr>
            <w:r w:rsidRPr="004E6761">
              <w:rPr>
                <w:szCs w:val="22"/>
              </w:rPr>
              <w:t>Lymphopenia</w:t>
            </w:r>
            <w:r w:rsidRPr="004E6761">
              <w:rPr>
                <w:szCs w:val="22"/>
                <w:vertAlign w:val="superscript"/>
              </w:rPr>
              <w:t>a</w:t>
            </w:r>
          </w:p>
        </w:tc>
        <w:tc>
          <w:tcPr>
            <w:tcW w:w="1542" w:type="dxa"/>
            <w:vMerge/>
            <w:tcBorders>
              <w:left w:val="single" w:sz="4" w:space="0" w:color="auto"/>
              <w:right w:val="single" w:sz="4" w:space="0" w:color="auto"/>
            </w:tcBorders>
          </w:tcPr>
          <w:p w:rsidR="007E2BC7" w:rsidRPr="004E6761" w14:paraId="2FE357B7" w14:textId="77777777">
            <w:pPr>
              <w:keepNext/>
              <w:rPr>
                <w:szCs w:val="22"/>
              </w:rPr>
            </w:pPr>
          </w:p>
        </w:tc>
        <w:tc>
          <w:tcPr>
            <w:tcW w:w="1226" w:type="dxa"/>
            <w:tcBorders>
              <w:left w:val="single" w:sz="4" w:space="0" w:color="auto"/>
              <w:right w:val="single" w:sz="4" w:space="0" w:color="auto"/>
            </w:tcBorders>
            <w:vAlign w:val="bottom"/>
          </w:tcPr>
          <w:p w:rsidR="007E2BC7" w:rsidRPr="004B6FCF" w14:paraId="3FA8E178" w14:textId="77777777">
            <w:pPr>
              <w:keepNext/>
              <w:rPr>
                <w:szCs w:val="22"/>
              </w:rPr>
            </w:pPr>
            <w:r w:rsidRPr="004B6FCF">
              <w:rPr>
                <w:szCs w:val="22"/>
              </w:rPr>
              <w:t>14</w:t>
            </w:r>
          </w:p>
        </w:tc>
        <w:tc>
          <w:tcPr>
            <w:tcW w:w="1151" w:type="dxa"/>
            <w:tcBorders>
              <w:left w:val="single" w:sz="4" w:space="0" w:color="auto"/>
            </w:tcBorders>
            <w:vAlign w:val="bottom"/>
          </w:tcPr>
          <w:p w:rsidR="007E2BC7" w:rsidRPr="004B6FCF" w14:paraId="4CDE9834" w14:textId="77777777">
            <w:pPr>
              <w:keepNext/>
              <w:rPr>
                <w:szCs w:val="22"/>
              </w:rPr>
            </w:pPr>
            <w:r w:rsidRPr="004B6FCF">
              <w:rPr>
                <w:szCs w:val="22"/>
              </w:rPr>
              <w:t>11</w:t>
            </w:r>
          </w:p>
        </w:tc>
      </w:tr>
      <w:tr w14:paraId="699974BD" w14:textId="77777777" w:rsidTr="00B428AB">
        <w:tblPrEx>
          <w:tblW w:w="9072" w:type="dxa"/>
          <w:jc w:val="center"/>
          <w:tblLayout w:type="fixed"/>
          <w:tblCellMar>
            <w:left w:w="60" w:type="dxa"/>
            <w:right w:w="60" w:type="dxa"/>
          </w:tblCellMar>
          <w:tblLook w:val="0000"/>
        </w:tblPrEx>
        <w:trPr>
          <w:cantSplit/>
          <w:jc w:val="center"/>
        </w:trPr>
        <w:tc>
          <w:tcPr>
            <w:tcW w:w="2673" w:type="dxa"/>
            <w:vMerge/>
            <w:tcBorders>
              <w:right w:val="single" w:sz="4" w:space="0" w:color="auto"/>
            </w:tcBorders>
          </w:tcPr>
          <w:p w:rsidR="007E2BC7" w:rsidRPr="004E6761" w14:paraId="19B0529C" w14:textId="77777777">
            <w:pPr>
              <w:keepNext/>
              <w:rPr>
                <w:b/>
                <w:szCs w:val="22"/>
              </w:rPr>
            </w:pPr>
          </w:p>
        </w:tc>
        <w:tc>
          <w:tcPr>
            <w:tcW w:w="2480" w:type="dxa"/>
            <w:tcBorders>
              <w:left w:val="single" w:sz="4" w:space="0" w:color="auto"/>
              <w:right w:val="single" w:sz="4" w:space="0" w:color="auto"/>
            </w:tcBorders>
          </w:tcPr>
          <w:p w:rsidR="007E2BC7" w:rsidRPr="004E6761" w14:paraId="1C5DEF62" w14:textId="77777777">
            <w:pPr>
              <w:keepNext/>
              <w:rPr>
                <w:szCs w:val="22"/>
              </w:rPr>
            </w:pPr>
            <w:r w:rsidRPr="004E6761">
              <w:rPr>
                <w:szCs w:val="22"/>
              </w:rPr>
              <w:t>Leukopenia</w:t>
            </w:r>
            <w:r w:rsidRPr="004E6761">
              <w:rPr>
                <w:szCs w:val="22"/>
                <w:vertAlign w:val="superscript"/>
              </w:rPr>
              <w:t>a</w:t>
            </w:r>
          </w:p>
        </w:tc>
        <w:tc>
          <w:tcPr>
            <w:tcW w:w="1542" w:type="dxa"/>
            <w:vMerge/>
            <w:tcBorders>
              <w:left w:val="single" w:sz="4" w:space="0" w:color="auto"/>
              <w:right w:val="single" w:sz="4" w:space="0" w:color="auto"/>
            </w:tcBorders>
          </w:tcPr>
          <w:p w:rsidR="007E2BC7" w:rsidRPr="004E6761" w14:paraId="5AB54BBB" w14:textId="77777777">
            <w:pPr>
              <w:keepNext/>
              <w:rPr>
                <w:szCs w:val="22"/>
              </w:rPr>
            </w:pPr>
          </w:p>
        </w:tc>
        <w:tc>
          <w:tcPr>
            <w:tcW w:w="1226" w:type="dxa"/>
            <w:tcBorders>
              <w:left w:val="single" w:sz="4" w:space="0" w:color="auto"/>
              <w:right w:val="single" w:sz="4" w:space="0" w:color="auto"/>
            </w:tcBorders>
            <w:vAlign w:val="bottom"/>
          </w:tcPr>
          <w:p w:rsidR="007E2BC7" w:rsidRPr="004B6FCF" w14:paraId="7827298F" w14:textId="77777777">
            <w:pPr>
              <w:keepNext/>
              <w:rPr>
                <w:szCs w:val="22"/>
              </w:rPr>
            </w:pPr>
            <w:r w:rsidRPr="004B6FCF">
              <w:rPr>
                <w:szCs w:val="22"/>
              </w:rPr>
              <w:t>12</w:t>
            </w:r>
          </w:p>
        </w:tc>
        <w:tc>
          <w:tcPr>
            <w:tcW w:w="1151" w:type="dxa"/>
            <w:tcBorders>
              <w:left w:val="single" w:sz="4" w:space="0" w:color="auto"/>
            </w:tcBorders>
            <w:vAlign w:val="bottom"/>
          </w:tcPr>
          <w:p w:rsidR="007E2BC7" w:rsidRPr="004B6FCF" w14:paraId="117250FB" w14:textId="77777777">
            <w:pPr>
              <w:keepNext/>
              <w:rPr>
                <w:szCs w:val="22"/>
              </w:rPr>
            </w:pPr>
            <w:r w:rsidRPr="004B6FCF">
              <w:rPr>
                <w:szCs w:val="22"/>
              </w:rPr>
              <w:t>6</w:t>
            </w:r>
          </w:p>
        </w:tc>
      </w:tr>
      <w:tr w14:paraId="57DCF225" w14:textId="77777777" w:rsidTr="00B428AB">
        <w:tblPrEx>
          <w:tblW w:w="9072" w:type="dxa"/>
          <w:jc w:val="center"/>
          <w:tblLayout w:type="fixed"/>
          <w:tblCellMar>
            <w:left w:w="60" w:type="dxa"/>
            <w:right w:w="60" w:type="dxa"/>
          </w:tblCellMar>
          <w:tblLook w:val="0000"/>
        </w:tblPrEx>
        <w:trPr>
          <w:cantSplit/>
          <w:jc w:val="center"/>
        </w:trPr>
        <w:tc>
          <w:tcPr>
            <w:tcW w:w="2673" w:type="dxa"/>
            <w:vMerge w:val="restart"/>
            <w:tcBorders>
              <w:right w:val="single" w:sz="4" w:space="0" w:color="auto"/>
            </w:tcBorders>
          </w:tcPr>
          <w:p w:rsidR="007E2BC7" w:rsidRPr="004E6761" w14:paraId="3F206268" w14:textId="77777777">
            <w:pPr>
              <w:rPr>
                <w:b/>
                <w:szCs w:val="22"/>
              </w:rPr>
            </w:pPr>
            <w:r w:rsidRPr="004E6761">
              <w:rPr>
                <w:b/>
                <w:szCs w:val="22"/>
              </w:rPr>
              <w:t>Immune system disorders</w:t>
            </w:r>
          </w:p>
        </w:tc>
        <w:tc>
          <w:tcPr>
            <w:tcW w:w="2480" w:type="dxa"/>
            <w:tcBorders>
              <w:left w:val="single" w:sz="4" w:space="0" w:color="auto"/>
              <w:bottom w:val="single" w:sz="4" w:space="0" w:color="auto"/>
              <w:right w:val="single" w:sz="4" w:space="0" w:color="auto"/>
            </w:tcBorders>
          </w:tcPr>
          <w:p w:rsidR="007E2BC7" w:rsidRPr="004E6761" w14:paraId="586C1143" w14:textId="412A2E87">
            <w:pPr>
              <w:rPr>
                <w:szCs w:val="22"/>
              </w:rPr>
            </w:pPr>
            <w:r w:rsidRPr="004E6761">
              <w:rPr>
                <w:szCs w:val="22"/>
              </w:rPr>
              <w:t>Hypogammaglobulin</w:t>
            </w:r>
            <w:r w:rsidR="0052583A">
              <w:rPr>
                <w:szCs w:val="22"/>
              </w:rPr>
              <w:t>a</w:t>
            </w:r>
            <w:r w:rsidRPr="004E6761">
              <w:rPr>
                <w:szCs w:val="22"/>
              </w:rPr>
              <w:t>emia</w:t>
            </w:r>
            <w:r w:rsidRPr="004E6761">
              <w:rPr>
                <w:szCs w:val="22"/>
                <w:vertAlign w:val="superscript"/>
              </w:rPr>
              <w:t>a</w:t>
            </w:r>
          </w:p>
        </w:tc>
        <w:tc>
          <w:tcPr>
            <w:tcW w:w="1542" w:type="dxa"/>
            <w:tcBorders>
              <w:left w:val="single" w:sz="4" w:space="0" w:color="auto"/>
              <w:right w:val="single" w:sz="4" w:space="0" w:color="auto"/>
            </w:tcBorders>
          </w:tcPr>
          <w:p w:rsidR="007E2BC7" w:rsidRPr="004E6761" w14:paraId="44DF1D3E" w14:textId="77777777">
            <w:pPr>
              <w:rPr>
                <w:szCs w:val="22"/>
              </w:rPr>
            </w:pPr>
            <w:r w:rsidRPr="004E6761">
              <w:rPr>
                <w:szCs w:val="22"/>
              </w:rPr>
              <w:t>Common</w:t>
            </w:r>
          </w:p>
        </w:tc>
        <w:tc>
          <w:tcPr>
            <w:tcW w:w="1226" w:type="dxa"/>
            <w:tcBorders>
              <w:left w:val="single" w:sz="4" w:space="0" w:color="auto"/>
              <w:right w:val="single" w:sz="4" w:space="0" w:color="auto"/>
            </w:tcBorders>
            <w:vAlign w:val="bottom"/>
          </w:tcPr>
          <w:p w:rsidR="007E2BC7" w:rsidRPr="004B6FCF" w14:paraId="3E71AE90" w14:textId="77777777">
            <w:pPr>
              <w:rPr>
                <w:szCs w:val="22"/>
              </w:rPr>
            </w:pPr>
            <w:r w:rsidRPr="004B6FCF">
              <w:rPr>
                <w:szCs w:val="22"/>
              </w:rPr>
              <w:t>3</w:t>
            </w:r>
          </w:p>
        </w:tc>
        <w:tc>
          <w:tcPr>
            <w:tcW w:w="1151" w:type="dxa"/>
            <w:tcBorders>
              <w:left w:val="single" w:sz="4" w:space="0" w:color="auto"/>
            </w:tcBorders>
            <w:vAlign w:val="bottom"/>
          </w:tcPr>
          <w:p w:rsidR="007E2BC7" w:rsidRPr="004B6FCF" w14:paraId="2A429864" w14:textId="77777777">
            <w:pPr>
              <w:rPr>
                <w:szCs w:val="22"/>
              </w:rPr>
            </w:pPr>
            <w:r w:rsidRPr="004B6FCF">
              <w:rPr>
                <w:szCs w:val="22"/>
              </w:rPr>
              <w:t>&lt;1*</w:t>
            </w:r>
          </w:p>
        </w:tc>
      </w:tr>
      <w:tr w14:paraId="2BF2A0AE" w14:textId="77777777" w:rsidTr="00B428AB">
        <w:tblPrEx>
          <w:tblW w:w="9072" w:type="dxa"/>
          <w:jc w:val="center"/>
          <w:tblLayout w:type="fixed"/>
          <w:tblCellMar>
            <w:left w:w="60" w:type="dxa"/>
            <w:right w:w="60" w:type="dxa"/>
          </w:tblCellMar>
          <w:tblLook w:val="0000"/>
        </w:tblPrEx>
        <w:trPr>
          <w:cantSplit/>
          <w:jc w:val="center"/>
        </w:trPr>
        <w:tc>
          <w:tcPr>
            <w:tcW w:w="2673" w:type="dxa"/>
            <w:vMerge/>
            <w:tcBorders>
              <w:right w:val="single" w:sz="4" w:space="0" w:color="auto"/>
            </w:tcBorders>
          </w:tcPr>
          <w:p w:rsidR="007E2BC7" w:rsidRPr="004E6761" w14:paraId="524249A9" w14:textId="77777777">
            <w:pPr>
              <w:rPr>
                <w:b/>
                <w:szCs w:val="22"/>
              </w:rPr>
            </w:pPr>
          </w:p>
        </w:tc>
        <w:tc>
          <w:tcPr>
            <w:tcW w:w="2480" w:type="dxa"/>
            <w:tcBorders>
              <w:left w:val="single" w:sz="4" w:space="0" w:color="auto"/>
              <w:bottom w:val="single" w:sz="4" w:space="0" w:color="auto"/>
              <w:right w:val="single" w:sz="4" w:space="0" w:color="auto"/>
            </w:tcBorders>
          </w:tcPr>
          <w:p w:rsidR="007E2BC7" w:rsidRPr="004E6761" w14:paraId="5410B887" w14:textId="77777777">
            <w:pPr>
              <w:rPr>
                <w:szCs w:val="22"/>
              </w:rPr>
            </w:pPr>
            <w:r w:rsidRPr="004E6761">
              <w:rPr>
                <w:szCs w:val="22"/>
              </w:rPr>
              <w:t>Anaphylactic reaction</w:t>
            </w:r>
            <w:r w:rsidRPr="004E6761">
              <w:rPr>
                <w:szCs w:val="22"/>
                <w:vertAlign w:val="superscript"/>
              </w:rPr>
              <w:t>b</w:t>
            </w:r>
          </w:p>
        </w:tc>
        <w:tc>
          <w:tcPr>
            <w:tcW w:w="1542" w:type="dxa"/>
            <w:tcBorders>
              <w:left w:val="single" w:sz="4" w:space="0" w:color="auto"/>
              <w:right w:val="single" w:sz="4" w:space="0" w:color="auto"/>
            </w:tcBorders>
          </w:tcPr>
          <w:p w:rsidR="007E2BC7" w:rsidRPr="004E6761" w14:paraId="2083EE9C" w14:textId="77777777">
            <w:pPr>
              <w:rPr>
                <w:szCs w:val="22"/>
              </w:rPr>
            </w:pPr>
            <w:r w:rsidRPr="004E6761">
              <w:rPr>
                <w:szCs w:val="22"/>
              </w:rPr>
              <w:t>Rare</w:t>
            </w:r>
          </w:p>
        </w:tc>
        <w:tc>
          <w:tcPr>
            <w:tcW w:w="1226" w:type="dxa"/>
            <w:tcBorders>
              <w:left w:val="single" w:sz="4" w:space="0" w:color="auto"/>
              <w:right w:val="single" w:sz="4" w:space="0" w:color="auto"/>
            </w:tcBorders>
            <w:vAlign w:val="bottom"/>
          </w:tcPr>
          <w:p w:rsidR="007E2BC7" w:rsidRPr="004B6FCF" w14:paraId="006588CE" w14:textId="77777777">
            <w:pPr>
              <w:rPr>
                <w:szCs w:val="22"/>
              </w:rPr>
            </w:pPr>
            <w:r w:rsidRPr="004B6FCF">
              <w:rPr>
                <w:szCs w:val="22"/>
              </w:rPr>
              <w:t>-</w:t>
            </w:r>
          </w:p>
        </w:tc>
        <w:tc>
          <w:tcPr>
            <w:tcW w:w="1151" w:type="dxa"/>
            <w:tcBorders>
              <w:left w:val="single" w:sz="4" w:space="0" w:color="auto"/>
            </w:tcBorders>
            <w:vAlign w:val="bottom"/>
          </w:tcPr>
          <w:p w:rsidR="007E2BC7" w:rsidRPr="004B6FCF" w14:paraId="523DE7CE" w14:textId="77777777">
            <w:pPr>
              <w:rPr>
                <w:szCs w:val="22"/>
              </w:rPr>
            </w:pPr>
            <w:r w:rsidRPr="004B6FCF">
              <w:rPr>
                <w:szCs w:val="22"/>
              </w:rPr>
              <w:t>-</w:t>
            </w:r>
          </w:p>
        </w:tc>
      </w:tr>
      <w:tr w14:paraId="11D99BDF" w14:textId="77777777" w:rsidTr="00B428AB">
        <w:tblPrEx>
          <w:tblW w:w="9072" w:type="dxa"/>
          <w:jc w:val="center"/>
          <w:tblLayout w:type="fixed"/>
          <w:tblCellMar>
            <w:left w:w="60" w:type="dxa"/>
            <w:right w:w="60" w:type="dxa"/>
          </w:tblCellMar>
          <w:tblLook w:val="0000"/>
        </w:tblPrEx>
        <w:trPr>
          <w:cantSplit/>
          <w:jc w:val="center"/>
        </w:trPr>
        <w:tc>
          <w:tcPr>
            <w:tcW w:w="2673" w:type="dxa"/>
            <w:vMerge w:val="restart"/>
            <w:tcBorders>
              <w:right w:val="single" w:sz="4" w:space="0" w:color="auto"/>
            </w:tcBorders>
          </w:tcPr>
          <w:p w:rsidR="00B428AB" w:rsidRPr="004E6761" w14:paraId="160B0915" w14:textId="77777777">
            <w:pPr>
              <w:rPr>
                <w:b/>
                <w:szCs w:val="22"/>
              </w:rPr>
            </w:pPr>
            <w:r w:rsidRPr="004E6761">
              <w:rPr>
                <w:b/>
                <w:szCs w:val="22"/>
              </w:rPr>
              <w:t>Metabolism and nutrition disorders</w:t>
            </w:r>
          </w:p>
        </w:tc>
        <w:tc>
          <w:tcPr>
            <w:tcW w:w="2480" w:type="dxa"/>
            <w:tcBorders>
              <w:left w:val="single" w:sz="4" w:space="0" w:color="auto"/>
              <w:bottom w:val="single" w:sz="4" w:space="0" w:color="auto"/>
              <w:right w:val="single" w:sz="4" w:space="0" w:color="auto"/>
            </w:tcBorders>
          </w:tcPr>
          <w:p w:rsidR="00B428AB" w:rsidRPr="004E6761" w14:paraId="40682440" w14:textId="77777777">
            <w:pPr>
              <w:rPr>
                <w:szCs w:val="22"/>
              </w:rPr>
            </w:pPr>
            <w:r w:rsidRPr="004E6761">
              <w:rPr>
                <w:szCs w:val="22"/>
              </w:rPr>
              <w:t>Decreased appetite</w:t>
            </w:r>
          </w:p>
        </w:tc>
        <w:tc>
          <w:tcPr>
            <w:tcW w:w="1542" w:type="dxa"/>
            <w:vMerge w:val="restart"/>
            <w:tcBorders>
              <w:left w:val="single" w:sz="4" w:space="0" w:color="auto"/>
              <w:right w:val="single" w:sz="4" w:space="0" w:color="auto"/>
            </w:tcBorders>
          </w:tcPr>
          <w:p w:rsidR="00B428AB" w:rsidRPr="004E6761" w14:paraId="764378DF" w14:textId="77777777">
            <w:pPr>
              <w:rPr>
                <w:szCs w:val="22"/>
              </w:rPr>
            </w:pPr>
            <w:r w:rsidRPr="004E6761">
              <w:rPr>
                <w:szCs w:val="22"/>
              </w:rPr>
              <w:t>Very common</w:t>
            </w:r>
          </w:p>
        </w:tc>
        <w:tc>
          <w:tcPr>
            <w:tcW w:w="1226" w:type="dxa"/>
            <w:tcBorders>
              <w:left w:val="single" w:sz="4" w:space="0" w:color="auto"/>
              <w:right w:val="single" w:sz="4" w:space="0" w:color="auto"/>
            </w:tcBorders>
          </w:tcPr>
          <w:p w:rsidR="00B428AB" w:rsidRPr="004B6FCF" w14:paraId="15810A1C" w14:textId="77777777">
            <w:pPr>
              <w:rPr>
                <w:szCs w:val="22"/>
              </w:rPr>
            </w:pPr>
            <w:r w:rsidRPr="004B6FCF">
              <w:rPr>
                <w:szCs w:val="22"/>
              </w:rPr>
              <w:t>12</w:t>
            </w:r>
          </w:p>
        </w:tc>
        <w:tc>
          <w:tcPr>
            <w:tcW w:w="1151" w:type="dxa"/>
            <w:tcBorders>
              <w:left w:val="single" w:sz="4" w:space="0" w:color="auto"/>
            </w:tcBorders>
          </w:tcPr>
          <w:p w:rsidR="00B428AB" w:rsidRPr="004B6FCF" w14:paraId="126D9AD5" w14:textId="77777777">
            <w:pPr>
              <w:rPr>
                <w:szCs w:val="22"/>
              </w:rPr>
            </w:pPr>
            <w:r w:rsidRPr="004B6FCF">
              <w:rPr>
                <w:szCs w:val="22"/>
              </w:rPr>
              <w:t>1</w:t>
            </w:r>
          </w:p>
        </w:tc>
      </w:tr>
      <w:tr w14:paraId="7BD2E8F5" w14:textId="77777777" w:rsidTr="00B428AB">
        <w:tblPrEx>
          <w:tblW w:w="9072" w:type="dxa"/>
          <w:jc w:val="center"/>
          <w:tblLayout w:type="fixed"/>
          <w:tblCellMar>
            <w:left w:w="60" w:type="dxa"/>
            <w:right w:w="60" w:type="dxa"/>
          </w:tblCellMar>
          <w:tblLook w:val="0000"/>
        </w:tblPrEx>
        <w:trPr>
          <w:cantSplit/>
          <w:jc w:val="center"/>
        </w:trPr>
        <w:tc>
          <w:tcPr>
            <w:tcW w:w="2673" w:type="dxa"/>
            <w:vMerge/>
            <w:tcBorders>
              <w:right w:val="single" w:sz="4" w:space="0" w:color="auto"/>
            </w:tcBorders>
          </w:tcPr>
          <w:p w:rsidR="00B428AB" w:rsidRPr="004E6761" w:rsidP="003B4ED6" w14:paraId="38602F47" w14:textId="77777777">
            <w:pPr>
              <w:rPr>
                <w:b/>
                <w:szCs w:val="22"/>
              </w:rPr>
            </w:pPr>
          </w:p>
        </w:tc>
        <w:tc>
          <w:tcPr>
            <w:tcW w:w="2480" w:type="dxa"/>
            <w:tcBorders>
              <w:left w:val="single" w:sz="4" w:space="0" w:color="auto"/>
              <w:bottom w:val="single" w:sz="4" w:space="0" w:color="auto"/>
              <w:right w:val="single" w:sz="4" w:space="0" w:color="auto"/>
            </w:tcBorders>
          </w:tcPr>
          <w:p w:rsidR="00B428AB" w:rsidRPr="004E6761" w:rsidP="003B4ED6" w14:paraId="5D027608" w14:textId="20BC49DE">
            <w:pPr>
              <w:rPr>
                <w:szCs w:val="22"/>
              </w:rPr>
            </w:pPr>
            <w:r w:rsidRPr="004E6761">
              <w:t>Hypokalaemiaa</w:t>
            </w:r>
          </w:p>
        </w:tc>
        <w:tc>
          <w:tcPr>
            <w:tcW w:w="1542" w:type="dxa"/>
            <w:vMerge/>
            <w:tcBorders>
              <w:left w:val="single" w:sz="4" w:space="0" w:color="auto"/>
              <w:right w:val="single" w:sz="4" w:space="0" w:color="auto"/>
            </w:tcBorders>
          </w:tcPr>
          <w:p w:rsidR="00B428AB" w:rsidRPr="004E6761" w:rsidP="003B4ED6" w14:paraId="4276F66F" w14:textId="77777777">
            <w:pPr>
              <w:rPr>
                <w:szCs w:val="22"/>
              </w:rPr>
            </w:pPr>
          </w:p>
        </w:tc>
        <w:tc>
          <w:tcPr>
            <w:tcW w:w="1226" w:type="dxa"/>
            <w:tcBorders>
              <w:left w:val="single" w:sz="4" w:space="0" w:color="auto"/>
              <w:right w:val="single" w:sz="4" w:space="0" w:color="auto"/>
            </w:tcBorders>
          </w:tcPr>
          <w:p w:rsidR="00B428AB" w:rsidRPr="004B6FCF" w:rsidP="003B4ED6" w14:paraId="68D8DEE2" w14:textId="726A824B">
            <w:pPr>
              <w:rPr>
                <w:szCs w:val="22"/>
              </w:rPr>
            </w:pPr>
            <w:r w:rsidRPr="004B6FCF">
              <w:t>10</w:t>
            </w:r>
          </w:p>
        </w:tc>
        <w:tc>
          <w:tcPr>
            <w:tcW w:w="1151" w:type="dxa"/>
            <w:tcBorders>
              <w:left w:val="single" w:sz="4" w:space="0" w:color="auto"/>
            </w:tcBorders>
          </w:tcPr>
          <w:p w:rsidR="00B428AB" w:rsidRPr="004B6FCF" w:rsidP="003B4ED6" w14:paraId="62EB66C8" w14:textId="7B155D5F">
            <w:pPr>
              <w:rPr>
                <w:szCs w:val="22"/>
              </w:rPr>
            </w:pPr>
            <w:r w:rsidRPr="004B6FCF">
              <w:t>3</w:t>
            </w:r>
          </w:p>
        </w:tc>
      </w:tr>
      <w:tr w14:paraId="22757457" w14:textId="77777777" w:rsidTr="00B428AB">
        <w:tblPrEx>
          <w:tblW w:w="9072" w:type="dxa"/>
          <w:jc w:val="center"/>
          <w:tblLayout w:type="fixed"/>
          <w:tblCellMar>
            <w:left w:w="60" w:type="dxa"/>
            <w:right w:w="60" w:type="dxa"/>
          </w:tblCellMar>
          <w:tblLook w:val="0000"/>
        </w:tblPrEx>
        <w:trPr>
          <w:cantSplit/>
          <w:jc w:val="center"/>
        </w:trPr>
        <w:tc>
          <w:tcPr>
            <w:tcW w:w="2673" w:type="dxa"/>
            <w:vMerge/>
            <w:tcBorders>
              <w:right w:val="single" w:sz="4" w:space="0" w:color="auto"/>
            </w:tcBorders>
          </w:tcPr>
          <w:p w:rsidR="007E2BC7" w:rsidRPr="004E6761" w14:paraId="643D8038" w14:textId="77777777">
            <w:pPr>
              <w:rPr>
                <w:b/>
                <w:szCs w:val="22"/>
              </w:rPr>
            </w:pPr>
          </w:p>
        </w:tc>
        <w:tc>
          <w:tcPr>
            <w:tcW w:w="2480" w:type="dxa"/>
            <w:tcBorders>
              <w:left w:val="single" w:sz="4" w:space="0" w:color="auto"/>
              <w:bottom w:val="single" w:sz="4" w:space="0" w:color="auto"/>
              <w:right w:val="single" w:sz="4" w:space="0" w:color="auto"/>
            </w:tcBorders>
          </w:tcPr>
          <w:p w:rsidR="007E2BC7" w:rsidRPr="004E6761" w14:paraId="266CC5C1" w14:textId="77777777">
            <w:pPr>
              <w:rPr>
                <w:szCs w:val="22"/>
              </w:rPr>
            </w:pPr>
            <w:r w:rsidRPr="004E6761">
              <w:rPr>
                <w:szCs w:val="22"/>
              </w:rPr>
              <w:t>Hyperglycaemia</w:t>
            </w:r>
          </w:p>
        </w:tc>
        <w:tc>
          <w:tcPr>
            <w:tcW w:w="1542" w:type="dxa"/>
            <w:vMerge w:val="restart"/>
            <w:tcBorders>
              <w:left w:val="single" w:sz="4" w:space="0" w:color="auto"/>
              <w:right w:val="single" w:sz="4" w:space="0" w:color="auto"/>
            </w:tcBorders>
          </w:tcPr>
          <w:p w:rsidR="007E2BC7" w:rsidRPr="004E6761" w14:paraId="35EB35AF" w14:textId="77777777">
            <w:pPr>
              <w:rPr>
                <w:szCs w:val="22"/>
              </w:rPr>
            </w:pPr>
            <w:r w:rsidRPr="004E6761">
              <w:rPr>
                <w:szCs w:val="22"/>
              </w:rPr>
              <w:t>Common</w:t>
            </w:r>
          </w:p>
        </w:tc>
        <w:tc>
          <w:tcPr>
            <w:tcW w:w="1226" w:type="dxa"/>
            <w:tcBorders>
              <w:left w:val="single" w:sz="4" w:space="0" w:color="auto"/>
              <w:right w:val="single" w:sz="4" w:space="0" w:color="auto"/>
            </w:tcBorders>
          </w:tcPr>
          <w:p w:rsidR="007E2BC7" w:rsidRPr="004B6FCF" w14:paraId="1B7759BC" w14:textId="77777777">
            <w:pPr>
              <w:rPr>
                <w:szCs w:val="22"/>
              </w:rPr>
            </w:pPr>
            <w:r w:rsidRPr="004B6FCF">
              <w:rPr>
                <w:szCs w:val="22"/>
              </w:rPr>
              <w:t>7</w:t>
            </w:r>
          </w:p>
        </w:tc>
        <w:tc>
          <w:tcPr>
            <w:tcW w:w="1151" w:type="dxa"/>
            <w:tcBorders>
              <w:left w:val="single" w:sz="4" w:space="0" w:color="auto"/>
            </w:tcBorders>
          </w:tcPr>
          <w:p w:rsidR="007E2BC7" w:rsidRPr="004B6FCF" w14:paraId="4CBA4EFF" w14:textId="77777777">
            <w:pPr>
              <w:rPr>
                <w:szCs w:val="22"/>
              </w:rPr>
            </w:pPr>
            <w:r w:rsidRPr="004B6FCF">
              <w:rPr>
                <w:szCs w:val="22"/>
              </w:rPr>
              <w:t>3</w:t>
            </w:r>
          </w:p>
        </w:tc>
      </w:tr>
      <w:tr w14:paraId="53EE06BC" w14:textId="77777777" w:rsidTr="00B428AB">
        <w:tblPrEx>
          <w:tblW w:w="9072" w:type="dxa"/>
          <w:jc w:val="center"/>
          <w:tblLayout w:type="fixed"/>
          <w:tblCellMar>
            <w:left w:w="60" w:type="dxa"/>
            <w:right w:w="60" w:type="dxa"/>
          </w:tblCellMar>
          <w:tblLook w:val="0000"/>
        </w:tblPrEx>
        <w:trPr>
          <w:cantSplit/>
          <w:jc w:val="center"/>
        </w:trPr>
        <w:tc>
          <w:tcPr>
            <w:tcW w:w="2673" w:type="dxa"/>
            <w:vMerge/>
            <w:tcBorders>
              <w:right w:val="single" w:sz="4" w:space="0" w:color="auto"/>
            </w:tcBorders>
          </w:tcPr>
          <w:p w:rsidR="007E2BC7" w:rsidRPr="004E6761" w14:paraId="0EFCF012" w14:textId="77777777">
            <w:pPr>
              <w:rPr>
                <w:b/>
                <w:szCs w:val="22"/>
              </w:rPr>
            </w:pPr>
          </w:p>
        </w:tc>
        <w:tc>
          <w:tcPr>
            <w:tcW w:w="2480" w:type="dxa"/>
            <w:tcBorders>
              <w:left w:val="single" w:sz="4" w:space="0" w:color="auto"/>
              <w:bottom w:val="single" w:sz="4" w:space="0" w:color="auto"/>
              <w:right w:val="single" w:sz="4" w:space="0" w:color="auto"/>
            </w:tcBorders>
          </w:tcPr>
          <w:p w:rsidR="007E2BC7" w:rsidRPr="004E6761" w14:paraId="18929A70" w14:textId="77777777">
            <w:pPr>
              <w:rPr>
                <w:szCs w:val="22"/>
              </w:rPr>
            </w:pPr>
            <w:r w:rsidRPr="004E6761">
              <w:rPr>
                <w:szCs w:val="22"/>
              </w:rPr>
              <w:t>Hypocalcaemia</w:t>
            </w:r>
          </w:p>
        </w:tc>
        <w:tc>
          <w:tcPr>
            <w:tcW w:w="1542" w:type="dxa"/>
            <w:vMerge/>
            <w:tcBorders>
              <w:left w:val="single" w:sz="4" w:space="0" w:color="auto"/>
              <w:right w:val="single" w:sz="4" w:space="0" w:color="auto"/>
            </w:tcBorders>
          </w:tcPr>
          <w:p w:rsidR="007E2BC7" w:rsidRPr="004E6761" w14:paraId="4B3B817F" w14:textId="77777777">
            <w:pPr>
              <w:rPr>
                <w:szCs w:val="22"/>
              </w:rPr>
            </w:pPr>
          </w:p>
        </w:tc>
        <w:tc>
          <w:tcPr>
            <w:tcW w:w="1226" w:type="dxa"/>
            <w:tcBorders>
              <w:left w:val="single" w:sz="4" w:space="0" w:color="auto"/>
              <w:right w:val="single" w:sz="4" w:space="0" w:color="auto"/>
            </w:tcBorders>
          </w:tcPr>
          <w:p w:rsidR="007E2BC7" w:rsidRPr="004B6FCF" w14:paraId="44E3B190" w14:textId="77777777">
            <w:pPr>
              <w:rPr>
                <w:szCs w:val="22"/>
              </w:rPr>
            </w:pPr>
            <w:r w:rsidRPr="004B6FCF">
              <w:rPr>
                <w:szCs w:val="22"/>
              </w:rPr>
              <w:t>6</w:t>
            </w:r>
          </w:p>
        </w:tc>
        <w:tc>
          <w:tcPr>
            <w:tcW w:w="1151" w:type="dxa"/>
            <w:tcBorders>
              <w:left w:val="single" w:sz="4" w:space="0" w:color="auto"/>
            </w:tcBorders>
          </w:tcPr>
          <w:p w:rsidR="007E2BC7" w:rsidRPr="004B6FCF" w14:paraId="6E1FC5A4" w14:textId="77777777">
            <w:pPr>
              <w:rPr>
                <w:szCs w:val="22"/>
              </w:rPr>
            </w:pPr>
            <w:r w:rsidRPr="004B6FCF">
              <w:rPr>
                <w:szCs w:val="22"/>
              </w:rPr>
              <w:t>1</w:t>
            </w:r>
          </w:p>
        </w:tc>
      </w:tr>
      <w:tr w14:paraId="23C3480F" w14:textId="77777777" w:rsidTr="00B428AB">
        <w:tblPrEx>
          <w:tblW w:w="9072" w:type="dxa"/>
          <w:jc w:val="center"/>
          <w:tblLayout w:type="fixed"/>
          <w:tblCellMar>
            <w:left w:w="60" w:type="dxa"/>
            <w:right w:w="60" w:type="dxa"/>
          </w:tblCellMar>
          <w:tblLook w:val="0000"/>
        </w:tblPrEx>
        <w:trPr>
          <w:cantSplit/>
          <w:jc w:val="center"/>
        </w:trPr>
        <w:tc>
          <w:tcPr>
            <w:tcW w:w="2673" w:type="dxa"/>
            <w:vMerge/>
            <w:tcBorders>
              <w:right w:val="single" w:sz="4" w:space="0" w:color="auto"/>
            </w:tcBorders>
          </w:tcPr>
          <w:p w:rsidR="007E2BC7" w:rsidRPr="004E6761" w14:paraId="6D853256" w14:textId="77777777">
            <w:pPr>
              <w:rPr>
                <w:b/>
                <w:szCs w:val="22"/>
              </w:rPr>
            </w:pPr>
          </w:p>
        </w:tc>
        <w:tc>
          <w:tcPr>
            <w:tcW w:w="2480" w:type="dxa"/>
            <w:tcBorders>
              <w:left w:val="single" w:sz="4" w:space="0" w:color="auto"/>
              <w:bottom w:val="single" w:sz="4" w:space="0" w:color="auto"/>
              <w:right w:val="single" w:sz="4" w:space="0" w:color="auto"/>
            </w:tcBorders>
          </w:tcPr>
          <w:p w:rsidR="007E2BC7" w:rsidRPr="004E6761" w14:paraId="29E8F77E" w14:textId="77777777">
            <w:pPr>
              <w:rPr>
                <w:szCs w:val="22"/>
              </w:rPr>
            </w:pPr>
            <w:r w:rsidRPr="004E6761">
              <w:rPr>
                <w:szCs w:val="22"/>
              </w:rPr>
              <w:t>Dehydration</w:t>
            </w:r>
          </w:p>
        </w:tc>
        <w:tc>
          <w:tcPr>
            <w:tcW w:w="1542" w:type="dxa"/>
            <w:vMerge/>
            <w:tcBorders>
              <w:left w:val="single" w:sz="4" w:space="0" w:color="auto"/>
              <w:right w:val="single" w:sz="4" w:space="0" w:color="auto"/>
            </w:tcBorders>
          </w:tcPr>
          <w:p w:rsidR="007E2BC7" w:rsidRPr="004E6761" w14:paraId="696B6620" w14:textId="77777777">
            <w:pPr>
              <w:rPr>
                <w:szCs w:val="22"/>
              </w:rPr>
            </w:pPr>
          </w:p>
        </w:tc>
        <w:tc>
          <w:tcPr>
            <w:tcW w:w="1226" w:type="dxa"/>
            <w:tcBorders>
              <w:left w:val="single" w:sz="4" w:space="0" w:color="auto"/>
              <w:right w:val="single" w:sz="4" w:space="0" w:color="auto"/>
            </w:tcBorders>
          </w:tcPr>
          <w:p w:rsidR="007E2BC7" w:rsidRPr="004B6FCF" w14:paraId="5839D328" w14:textId="77777777">
            <w:pPr>
              <w:rPr>
                <w:szCs w:val="22"/>
              </w:rPr>
            </w:pPr>
            <w:r w:rsidRPr="004B6FCF">
              <w:rPr>
                <w:szCs w:val="22"/>
              </w:rPr>
              <w:t>3</w:t>
            </w:r>
          </w:p>
        </w:tc>
        <w:tc>
          <w:tcPr>
            <w:tcW w:w="1151" w:type="dxa"/>
            <w:tcBorders>
              <w:left w:val="single" w:sz="4" w:space="0" w:color="auto"/>
            </w:tcBorders>
          </w:tcPr>
          <w:p w:rsidR="007E2BC7" w:rsidRPr="004B6FCF" w14:paraId="3D669733" w14:textId="77777777">
            <w:pPr>
              <w:rPr>
                <w:szCs w:val="22"/>
              </w:rPr>
            </w:pPr>
            <w:r w:rsidRPr="004B6FCF">
              <w:rPr>
                <w:szCs w:val="22"/>
              </w:rPr>
              <w:t>1*</w:t>
            </w:r>
          </w:p>
        </w:tc>
      </w:tr>
      <w:tr w14:paraId="1E1B624F" w14:textId="77777777" w:rsidTr="00B428AB">
        <w:tblPrEx>
          <w:tblW w:w="9072" w:type="dxa"/>
          <w:jc w:val="center"/>
          <w:tblLayout w:type="fixed"/>
          <w:tblCellMar>
            <w:left w:w="60" w:type="dxa"/>
            <w:right w:w="60" w:type="dxa"/>
          </w:tblCellMar>
          <w:tblLook w:val="0000"/>
        </w:tblPrEx>
        <w:trPr>
          <w:cantSplit/>
          <w:jc w:val="center"/>
        </w:trPr>
        <w:tc>
          <w:tcPr>
            <w:tcW w:w="2673" w:type="dxa"/>
            <w:tcBorders>
              <w:right w:val="single" w:sz="4" w:space="0" w:color="auto"/>
            </w:tcBorders>
          </w:tcPr>
          <w:p w:rsidR="003B4ED6" w:rsidRPr="004E6761" w:rsidP="003B4ED6" w14:paraId="39068D4D" w14:textId="001A873F">
            <w:pPr>
              <w:rPr>
                <w:b/>
                <w:bCs/>
                <w:szCs w:val="22"/>
              </w:rPr>
            </w:pPr>
            <w:r w:rsidRPr="004E6761">
              <w:rPr>
                <w:b/>
                <w:bCs/>
              </w:rPr>
              <w:t>Psychiatric disorders</w:t>
            </w:r>
          </w:p>
        </w:tc>
        <w:tc>
          <w:tcPr>
            <w:tcW w:w="2480" w:type="dxa"/>
            <w:tcBorders>
              <w:left w:val="single" w:sz="4" w:space="0" w:color="auto"/>
              <w:bottom w:val="single" w:sz="4" w:space="0" w:color="auto"/>
              <w:right w:val="single" w:sz="4" w:space="0" w:color="auto"/>
            </w:tcBorders>
          </w:tcPr>
          <w:p w:rsidR="003B4ED6" w:rsidRPr="004E6761" w:rsidP="003B4ED6" w14:paraId="4B67A1D5" w14:textId="14C32DCB">
            <w:pPr>
              <w:rPr>
                <w:szCs w:val="22"/>
              </w:rPr>
            </w:pPr>
            <w:r w:rsidRPr="004E6761">
              <w:t>Insomnia</w:t>
            </w:r>
          </w:p>
        </w:tc>
        <w:tc>
          <w:tcPr>
            <w:tcW w:w="1542" w:type="dxa"/>
            <w:tcBorders>
              <w:left w:val="single" w:sz="4" w:space="0" w:color="auto"/>
              <w:right w:val="single" w:sz="4" w:space="0" w:color="auto"/>
            </w:tcBorders>
          </w:tcPr>
          <w:p w:rsidR="003B4ED6" w:rsidRPr="004E6761" w:rsidP="003B4ED6" w14:paraId="61B84091" w14:textId="1EC0772D">
            <w:pPr>
              <w:rPr>
                <w:szCs w:val="22"/>
              </w:rPr>
            </w:pPr>
            <w:r w:rsidRPr="004E6761">
              <w:t>Very common</w:t>
            </w:r>
          </w:p>
        </w:tc>
        <w:tc>
          <w:tcPr>
            <w:tcW w:w="1226" w:type="dxa"/>
            <w:tcBorders>
              <w:left w:val="single" w:sz="4" w:space="0" w:color="auto"/>
              <w:right w:val="single" w:sz="4" w:space="0" w:color="auto"/>
            </w:tcBorders>
          </w:tcPr>
          <w:p w:rsidR="003B4ED6" w:rsidRPr="004B6FCF" w:rsidP="003B4ED6" w14:paraId="7491F2DC" w14:textId="58A8C48E">
            <w:pPr>
              <w:rPr>
                <w:szCs w:val="22"/>
              </w:rPr>
            </w:pPr>
            <w:r w:rsidRPr="004B6FCF">
              <w:t>16</w:t>
            </w:r>
          </w:p>
        </w:tc>
        <w:tc>
          <w:tcPr>
            <w:tcW w:w="1151" w:type="dxa"/>
            <w:tcBorders>
              <w:left w:val="single" w:sz="4" w:space="0" w:color="auto"/>
            </w:tcBorders>
          </w:tcPr>
          <w:p w:rsidR="003B4ED6" w:rsidRPr="004B6FCF" w:rsidP="003B4ED6" w14:paraId="1E1EC940" w14:textId="5D896B61">
            <w:pPr>
              <w:rPr>
                <w:szCs w:val="22"/>
              </w:rPr>
            </w:pPr>
            <w:r w:rsidRPr="004B6FCF">
              <w:t>1*</w:t>
            </w:r>
          </w:p>
        </w:tc>
      </w:tr>
      <w:tr w14:paraId="13657AE2" w14:textId="77777777" w:rsidTr="00B428AB">
        <w:tblPrEx>
          <w:tblW w:w="9072" w:type="dxa"/>
          <w:jc w:val="center"/>
          <w:tblLayout w:type="fixed"/>
          <w:tblCellMar>
            <w:left w:w="60" w:type="dxa"/>
            <w:right w:w="60" w:type="dxa"/>
          </w:tblCellMar>
          <w:tblLook w:val="0000"/>
        </w:tblPrEx>
        <w:trPr>
          <w:cantSplit/>
          <w:jc w:val="center"/>
        </w:trPr>
        <w:tc>
          <w:tcPr>
            <w:tcW w:w="2673" w:type="dxa"/>
            <w:vMerge w:val="restart"/>
            <w:tcBorders>
              <w:right w:val="single" w:sz="4" w:space="0" w:color="auto"/>
            </w:tcBorders>
          </w:tcPr>
          <w:p w:rsidR="00B428AB" w:rsidRPr="004E6761" w14:paraId="15B03AB3" w14:textId="77777777">
            <w:pPr>
              <w:rPr>
                <w:b/>
                <w:szCs w:val="22"/>
              </w:rPr>
            </w:pPr>
            <w:r w:rsidRPr="004E6761">
              <w:rPr>
                <w:b/>
                <w:szCs w:val="22"/>
              </w:rPr>
              <w:t>Nervous system disorders</w:t>
            </w:r>
          </w:p>
        </w:tc>
        <w:tc>
          <w:tcPr>
            <w:tcW w:w="2480" w:type="dxa"/>
            <w:tcBorders>
              <w:left w:val="single" w:sz="4" w:space="0" w:color="auto"/>
              <w:bottom w:val="single" w:sz="4" w:space="0" w:color="auto"/>
              <w:right w:val="single" w:sz="4" w:space="0" w:color="auto"/>
            </w:tcBorders>
          </w:tcPr>
          <w:p w:rsidR="00B428AB" w:rsidRPr="004E6761" w14:paraId="24C890F0" w14:textId="2D254AD5">
            <w:pPr>
              <w:rPr>
                <w:szCs w:val="22"/>
              </w:rPr>
            </w:pPr>
            <w:r w:rsidRPr="004E6761">
              <w:rPr>
                <w:szCs w:val="22"/>
              </w:rPr>
              <w:t>Peripheral neuropathy</w:t>
            </w:r>
            <w:r w:rsidRPr="004E6761">
              <w:rPr>
                <w:szCs w:val="22"/>
                <w:vertAlign w:val="superscript"/>
              </w:rPr>
              <w:t>a</w:t>
            </w:r>
          </w:p>
        </w:tc>
        <w:tc>
          <w:tcPr>
            <w:tcW w:w="1542" w:type="dxa"/>
            <w:vMerge w:val="restart"/>
            <w:tcBorders>
              <w:left w:val="single" w:sz="4" w:space="0" w:color="auto"/>
              <w:right w:val="single" w:sz="4" w:space="0" w:color="auto"/>
            </w:tcBorders>
          </w:tcPr>
          <w:p w:rsidR="00B428AB" w:rsidRPr="004E6761" w14:paraId="3D6D0B99" w14:textId="77777777">
            <w:pPr>
              <w:rPr>
                <w:szCs w:val="22"/>
              </w:rPr>
            </w:pPr>
            <w:r w:rsidRPr="004E6761">
              <w:rPr>
                <w:szCs w:val="22"/>
              </w:rPr>
              <w:t>Very common</w:t>
            </w:r>
          </w:p>
          <w:p w:rsidR="00B428AB" w:rsidRPr="004E6761" w14:paraId="1B62C034" w14:textId="77777777">
            <w:pPr>
              <w:rPr>
                <w:szCs w:val="22"/>
              </w:rPr>
            </w:pPr>
          </w:p>
        </w:tc>
        <w:tc>
          <w:tcPr>
            <w:tcW w:w="1226" w:type="dxa"/>
            <w:tcBorders>
              <w:left w:val="single" w:sz="4" w:space="0" w:color="auto"/>
              <w:right w:val="single" w:sz="4" w:space="0" w:color="auto"/>
            </w:tcBorders>
          </w:tcPr>
          <w:p w:rsidR="00B428AB" w:rsidRPr="004B6FCF" w14:paraId="367459A4" w14:textId="4F5A82B2">
            <w:pPr>
              <w:rPr>
                <w:szCs w:val="22"/>
              </w:rPr>
            </w:pPr>
            <w:r w:rsidRPr="004B6FCF">
              <w:rPr>
                <w:szCs w:val="22"/>
              </w:rPr>
              <w:t>35</w:t>
            </w:r>
          </w:p>
        </w:tc>
        <w:tc>
          <w:tcPr>
            <w:tcW w:w="1151" w:type="dxa"/>
            <w:tcBorders>
              <w:left w:val="single" w:sz="4" w:space="0" w:color="auto"/>
            </w:tcBorders>
          </w:tcPr>
          <w:p w:rsidR="00B428AB" w:rsidRPr="004B6FCF" w14:paraId="289FBEBF" w14:textId="5E54CF43">
            <w:pPr>
              <w:rPr>
                <w:szCs w:val="22"/>
              </w:rPr>
            </w:pPr>
            <w:r w:rsidRPr="004B6FCF">
              <w:rPr>
                <w:szCs w:val="22"/>
              </w:rPr>
              <w:t>4</w:t>
            </w:r>
          </w:p>
        </w:tc>
      </w:tr>
      <w:tr w14:paraId="768A0BF3" w14:textId="77777777" w:rsidTr="00B428AB">
        <w:tblPrEx>
          <w:tblW w:w="9072" w:type="dxa"/>
          <w:jc w:val="center"/>
          <w:tblLayout w:type="fixed"/>
          <w:tblCellMar>
            <w:left w:w="60" w:type="dxa"/>
            <w:right w:w="60" w:type="dxa"/>
          </w:tblCellMar>
          <w:tblLook w:val="0000"/>
        </w:tblPrEx>
        <w:trPr>
          <w:cantSplit/>
          <w:jc w:val="center"/>
        </w:trPr>
        <w:tc>
          <w:tcPr>
            <w:tcW w:w="2673" w:type="dxa"/>
            <w:vMerge/>
            <w:tcBorders>
              <w:right w:val="single" w:sz="4" w:space="0" w:color="auto"/>
            </w:tcBorders>
          </w:tcPr>
          <w:p w:rsidR="00B428AB" w:rsidRPr="004E6761" w14:paraId="3727ED3E" w14:textId="77777777">
            <w:pPr>
              <w:rPr>
                <w:b/>
                <w:szCs w:val="22"/>
              </w:rPr>
            </w:pPr>
          </w:p>
        </w:tc>
        <w:tc>
          <w:tcPr>
            <w:tcW w:w="2480" w:type="dxa"/>
            <w:tcBorders>
              <w:left w:val="single" w:sz="4" w:space="0" w:color="auto"/>
              <w:right w:val="single" w:sz="4" w:space="0" w:color="auto"/>
            </w:tcBorders>
          </w:tcPr>
          <w:p w:rsidR="00B428AB" w:rsidRPr="004E6761" w14:paraId="11C545C2" w14:textId="77777777">
            <w:pPr>
              <w:rPr>
                <w:szCs w:val="22"/>
              </w:rPr>
            </w:pPr>
            <w:r w:rsidRPr="004E6761">
              <w:rPr>
                <w:szCs w:val="22"/>
              </w:rPr>
              <w:t>Headache</w:t>
            </w:r>
          </w:p>
        </w:tc>
        <w:tc>
          <w:tcPr>
            <w:tcW w:w="1542" w:type="dxa"/>
            <w:vMerge/>
            <w:tcBorders>
              <w:left w:val="single" w:sz="4" w:space="0" w:color="auto"/>
              <w:right w:val="single" w:sz="4" w:space="0" w:color="auto"/>
            </w:tcBorders>
          </w:tcPr>
          <w:p w:rsidR="00B428AB" w:rsidRPr="004E6761" w14:paraId="5811DBF9" w14:textId="77777777">
            <w:pPr>
              <w:rPr>
                <w:szCs w:val="22"/>
              </w:rPr>
            </w:pPr>
          </w:p>
        </w:tc>
        <w:tc>
          <w:tcPr>
            <w:tcW w:w="1226" w:type="dxa"/>
            <w:tcBorders>
              <w:left w:val="single" w:sz="4" w:space="0" w:color="auto"/>
              <w:right w:val="single" w:sz="4" w:space="0" w:color="auto"/>
            </w:tcBorders>
            <w:vAlign w:val="bottom"/>
          </w:tcPr>
          <w:p w:rsidR="00B428AB" w:rsidRPr="004B6FCF" w14:paraId="4030B7A6" w14:textId="77777777">
            <w:pPr>
              <w:rPr>
                <w:szCs w:val="22"/>
              </w:rPr>
            </w:pPr>
            <w:r w:rsidRPr="004B6FCF">
              <w:rPr>
                <w:szCs w:val="22"/>
              </w:rPr>
              <w:t>12</w:t>
            </w:r>
          </w:p>
        </w:tc>
        <w:tc>
          <w:tcPr>
            <w:tcW w:w="1151" w:type="dxa"/>
            <w:tcBorders>
              <w:left w:val="single" w:sz="4" w:space="0" w:color="auto"/>
            </w:tcBorders>
            <w:vAlign w:val="bottom"/>
          </w:tcPr>
          <w:p w:rsidR="00B428AB" w:rsidRPr="004B6FCF" w14:paraId="28022D21" w14:textId="77777777">
            <w:pPr>
              <w:rPr>
                <w:szCs w:val="22"/>
              </w:rPr>
            </w:pPr>
            <w:r w:rsidRPr="004B6FCF">
              <w:rPr>
                <w:szCs w:val="22"/>
              </w:rPr>
              <w:t>&lt;1*</w:t>
            </w:r>
          </w:p>
        </w:tc>
      </w:tr>
      <w:tr w14:paraId="7FE08BA0" w14:textId="77777777" w:rsidTr="00B428AB">
        <w:tblPrEx>
          <w:tblW w:w="9072" w:type="dxa"/>
          <w:jc w:val="center"/>
          <w:tblLayout w:type="fixed"/>
          <w:tblCellMar>
            <w:left w:w="60" w:type="dxa"/>
            <w:right w:w="60" w:type="dxa"/>
          </w:tblCellMar>
          <w:tblLook w:val="0000"/>
        </w:tblPrEx>
        <w:trPr>
          <w:cantSplit/>
          <w:trHeight w:val="56"/>
          <w:jc w:val="center"/>
        </w:trPr>
        <w:tc>
          <w:tcPr>
            <w:tcW w:w="2673" w:type="dxa"/>
            <w:vMerge/>
            <w:tcBorders>
              <w:right w:val="single" w:sz="4" w:space="0" w:color="auto"/>
            </w:tcBorders>
          </w:tcPr>
          <w:p w:rsidR="00B428AB" w:rsidRPr="004E6761" w14:paraId="28F955A0" w14:textId="77777777">
            <w:pPr>
              <w:rPr>
                <w:b/>
                <w:szCs w:val="22"/>
              </w:rPr>
            </w:pPr>
          </w:p>
        </w:tc>
        <w:tc>
          <w:tcPr>
            <w:tcW w:w="2480" w:type="dxa"/>
            <w:tcBorders>
              <w:left w:val="single" w:sz="4" w:space="0" w:color="auto"/>
              <w:right w:val="single" w:sz="4" w:space="0" w:color="auto"/>
            </w:tcBorders>
          </w:tcPr>
          <w:p w:rsidR="00B428AB" w:rsidRPr="004E6761" w14:paraId="0056A7C8" w14:textId="77777777">
            <w:pPr>
              <w:rPr>
                <w:szCs w:val="22"/>
              </w:rPr>
            </w:pPr>
            <w:r w:rsidRPr="004E6761">
              <w:rPr>
                <w:szCs w:val="22"/>
              </w:rPr>
              <w:t>Paraesthesia</w:t>
            </w:r>
          </w:p>
        </w:tc>
        <w:tc>
          <w:tcPr>
            <w:tcW w:w="1542" w:type="dxa"/>
            <w:vMerge/>
            <w:tcBorders>
              <w:left w:val="single" w:sz="4" w:space="0" w:color="auto"/>
              <w:right w:val="single" w:sz="4" w:space="0" w:color="auto"/>
            </w:tcBorders>
          </w:tcPr>
          <w:p w:rsidR="00B428AB" w:rsidRPr="004E6761" w14:paraId="176F502B" w14:textId="77777777">
            <w:pPr>
              <w:rPr>
                <w:szCs w:val="22"/>
              </w:rPr>
            </w:pPr>
          </w:p>
        </w:tc>
        <w:tc>
          <w:tcPr>
            <w:tcW w:w="1226" w:type="dxa"/>
            <w:tcBorders>
              <w:left w:val="single" w:sz="4" w:space="0" w:color="auto"/>
              <w:right w:val="single" w:sz="4" w:space="0" w:color="auto"/>
            </w:tcBorders>
            <w:vAlign w:val="bottom"/>
          </w:tcPr>
          <w:p w:rsidR="00B428AB" w:rsidRPr="004B6FCF" w14:paraId="2463310E" w14:textId="77777777">
            <w:pPr>
              <w:rPr>
                <w:szCs w:val="22"/>
              </w:rPr>
            </w:pPr>
            <w:r w:rsidRPr="004B6FCF">
              <w:rPr>
                <w:szCs w:val="22"/>
              </w:rPr>
              <w:t>11</w:t>
            </w:r>
          </w:p>
        </w:tc>
        <w:tc>
          <w:tcPr>
            <w:tcW w:w="1151" w:type="dxa"/>
            <w:tcBorders>
              <w:left w:val="single" w:sz="4" w:space="0" w:color="auto"/>
            </w:tcBorders>
            <w:vAlign w:val="bottom"/>
          </w:tcPr>
          <w:p w:rsidR="00B428AB" w:rsidRPr="004B6FCF" w14:paraId="0C5DA71C" w14:textId="77777777">
            <w:pPr>
              <w:rPr>
                <w:szCs w:val="22"/>
              </w:rPr>
            </w:pPr>
            <w:r w:rsidRPr="004B6FCF">
              <w:rPr>
                <w:szCs w:val="22"/>
              </w:rPr>
              <w:t>&lt;1</w:t>
            </w:r>
          </w:p>
        </w:tc>
      </w:tr>
      <w:tr w14:paraId="6A537DAF" w14:textId="77777777" w:rsidTr="00B428AB">
        <w:tblPrEx>
          <w:tblW w:w="9072" w:type="dxa"/>
          <w:jc w:val="center"/>
          <w:tblLayout w:type="fixed"/>
          <w:tblCellMar>
            <w:left w:w="60" w:type="dxa"/>
            <w:right w:w="60" w:type="dxa"/>
          </w:tblCellMar>
          <w:tblLook w:val="0000"/>
        </w:tblPrEx>
        <w:trPr>
          <w:cantSplit/>
          <w:trHeight w:val="56"/>
          <w:jc w:val="center"/>
        </w:trPr>
        <w:tc>
          <w:tcPr>
            <w:tcW w:w="2673" w:type="dxa"/>
            <w:vMerge/>
            <w:tcBorders>
              <w:right w:val="single" w:sz="4" w:space="0" w:color="auto"/>
            </w:tcBorders>
          </w:tcPr>
          <w:p w:rsidR="00B428AB" w:rsidRPr="004E6761" w:rsidP="003B4ED6" w14:paraId="1790E765" w14:textId="77777777">
            <w:pPr>
              <w:rPr>
                <w:b/>
                <w:szCs w:val="22"/>
              </w:rPr>
            </w:pPr>
          </w:p>
        </w:tc>
        <w:tc>
          <w:tcPr>
            <w:tcW w:w="2480" w:type="dxa"/>
            <w:tcBorders>
              <w:left w:val="single" w:sz="4" w:space="0" w:color="auto"/>
              <w:right w:val="single" w:sz="4" w:space="0" w:color="auto"/>
            </w:tcBorders>
          </w:tcPr>
          <w:p w:rsidR="00B428AB" w:rsidRPr="004E6761" w:rsidP="003B4ED6" w14:paraId="2D09D09B" w14:textId="34E36F40">
            <w:pPr>
              <w:rPr>
                <w:szCs w:val="22"/>
              </w:rPr>
            </w:pPr>
            <w:r w:rsidRPr="004E6761">
              <w:t>Dizziness</w:t>
            </w:r>
          </w:p>
        </w:tc>
        <w:tc>
          <w:tcPr>
            <w:tcW w:w="1542" w:type="dxa"/>
            <w:vMerge/>
            <w:tcBorders>
              <w:left w:val="single" w:sz="4" w:space="0" w:color="auto"/>
              <w:right w:val="single" w:sz="4" w:space="0" w:color="auto"/>
            </w:tcBorders>
          </w:tcPr>
          <w:p w:rsidR="00B428AB" w:rsidRPr="004E6761" w:rsidP="003B4ED6" w14:paraId="6C9485A6" w14:textId="77777777">
            <w:pPr>
              <w:rPr>
                <w:szCs w:val="22"/>
              </w:rPr>
            </w:pPr>
          </w:p>
        </w:tc>
        <w:tc>
          <w:tcPr>
            <w:tcW w:w="1226" w:type="dxa"/>
            <w:tcBorders>
              <w:left w:val="single" w:sz="4" w:space="0" w:color="auto"/>
              <w:right w:val="single" w:sz="4" w:space="0" w:color="auto"/>
            </w:tcBorders>
          </w:tcPr>
          <w:p w:rsidR="00B428AB" w:rsidRPr="004B6FCF" w:rsidP="003B4ED6" w14:paraId="18D82C1D" w14:textId="142FB149">
            <w:pPr>
              <w:rPr>
                <w:szCs w:val="22"/>
              </w:rPr>
            </w:pPr>
            <w:r w:rsidRPr="004B6FCF">
              <w:t>10</w:t>
            </w:r>
          </w:p>
        </w:tc>
        <w:tc>
          <w:tcPr>
            <w:tcW w:w="1151" w:type="dxa"/>
            <w:tcBorders>
              <w:left w:val="single" w:sz="4" w:space="0" w:color="auto"/>
            </w:tcBorders>
          </w:tcPr>
          <w:p w:rsidR="00B428AB" w:rsidRPr="004B6FCF" w:rsidP="003B4ED6" w14:paraId="38212349" w14:textId="04B0F87E">
            <w:pPr>
              <w:rPr>
                <w:szCs w:val="22"/>
              </w:rPr>
            </w:pPr>
            <w:r w:rsidRPr="004B6FCF">
              <w:t>&lt; 1*</w:t>
            </w:r>
          </w:p>
        </w:tc>
      </w:tr>
      <w:tr w14:paraId="5CB8957A" w14:textId="77777777" w:rsidTr="00B428AB">
        <w:tblPrEx>
          <w:tblW w:w="9072" w:type="dxa"/>
          <w:jc w:val="center"/>
          <w:tblLayout w:type="fixed"/>
          <w:tblCellMar>
            <w:left w:w="60" w:type="dxa"/>
            <w:right w:w="60" w:type="dxa"/>
          </w:tblCellMar>
          <w:tblLook w:val="0000"/>
        </w:tblPrEx>
        <w:trPr>
          <w:cantSplit/>
          <w:trHeight w:val="56"/>
          <w:jc w:val="center"/>
        </w:trPr>
        <w:tc>
          <w:tcPr>
            <w:tcW w:w="2673" w:type="dxa"/>
            <w:vMerge/>
            <w:tcBorders>
              <w:right w:val="single" w:sz="4" w:space="0" w:color="auto"/>
            </w:tcBorders>
          </w:tcPr>
          <w:p w:rsidR="007E2BC7" w:rsidRPr="004E6761" w14:paraId="64596AA4" w14:textId="77777777">
            <w:pPr>
              <w:rPr>
                <w:b/>
                <w:szCs w:val="22"/>
              </w:rPr>
            </w:pPr>
          </w:p>
        </w:tc>
        <w:tc>
          <w:tcPr>
            <w:tcW w:w="2480" w:type="dxa"/>
            <w:tcBorders>
              <w:left w:val="single" w:sz="4" w:space="0" w:color="auto"/>
              <w:right w:val="single" w:sz="4" w:space="0" w:color="auto"/>
            </w:tcBorders>
          </w:tcPr>
          <w:p w:rsidR="007E2BC7" w:rsidRPr="004E6761" w14:paraId="555CF69C" w14:textId="77777777">
            <w:pPr>
              <w:rPr>
                <w:szCs w:val="22"/>
              </w:rPr>
            </w:pPr>
            <w:r w:rsidRPr="004E6761">
              <w:rPr>
                <w:szCs w:val="22"/>
              </w:rPr>
              <w:t>Syncope</w:t>
            </w:r>
          </w:p>
        </w:tc>
        <w:tc>
          <w:tcPr>
            <w:tcW w:w="1542" w:type="dxa"/>
            <w:tcBorders>
              <w:left w:val="single" w:sz="4" w:space="0" w:color="auto"/>
              <w:right w:val="single" w:sz="4" w:space="0" w:color="auto"/>
            </w:tcBorders>
          </w:tcPr>
          <w:p w:rsidR="007E2BC7" w:rsidRPr="004E6761" w14:paraId="6A6DA120" w14:textId="77777777">
            <w:pPr>
              <w:rPr>
                <w:szCs w:val="22"/>
              </w:rPr>
            </w:pPr>
            <w:r w:rsidRPr="004E6761">
              <w:rPr>
                <w:szCs w:val="22"/>
              </w:rPr>
              <w:t>Common</w:t>
            </w:r>
          </w:p>
        </w:tc>
        <w:tc>
          <w:tcPr>
            <w:tcW w:w="1226" w:type="dxa"/>
            <w:tcBorders>
              <w:left w:val="single" w:sz="4" w:space="0" w:color="auto"/>
              <w:right w:val="single" w:sz="4" w:space="0" w:color="auto"/>
            </w:tcBorders>
            <w:vAlign w:val="bottom"/>
          </w:tcPr>
          <w:p w:rsidR="007E2BC7" w:rsidRPr="004B6FCF" w14:paraId="0ACB3C65" w14:textId="77777777">
            <w:pPr>
              <w:rPr>
                <w:szCs w:val="22"/>
              </w:rPr>
            </w:pPr>
            <w:r w:rsidRPr="004B6FCF">
              <w:rPr>
                <w:szCs w:val="22"/>
              </w:rPr>
              <w:t>2</w:t>
            </w:r>
          </w:p>
        </w:tc>
        <w:tc>
          <w:tcPr>
            <w:tcW w:w="1151" w:type="dxa"/>
            <w:tcBorders>
              <w:left w:val="single" w:sz="4" w:space="0" w:color="auto"/>
            </w:tcBorders>
            <w:vAlign w:val="bottom"/>
          </w:tcPr>
          <w:p w:rsidR="007E2BC7" w:rsidRPr="004B6FCF" w14:paraId="31D89428" w14:textId="77777777">
            <w:pPr>
              <w:rPr>
                <w:szCs w:val="22"/>
              </w:rPr>
            </w:pPr>
            <w:r w:rsidRPr="004B6FCF">
              <w:rPr>
                <w:szCs w:val="22"/>
              </w:rPr>
              <w:t>2*</w:t>
            </w:r>
          </w:p>
        </w:tc>
      </w:tr>
      <w:tr w14:paraId="6ECD6F4F" w14:textId="77777777" w:rsidTr="00B428AB">
        <w:tblPrEx>
          <w:tblW w:w="9072" w:type="dxa"/>
          <w:jc w:val="center"/>
          <w:tblLayout w:type="fixed"/>
          <w:tblCellMar>
            <w:left w:w="60" w:type="dxa"/>
            <w:right w:w="60" w:type="dxa"/>
          </w:tblCellMar>
          <w:tblLook w:val="0000"/>
        </w:tblPrEx>
        <w:trPr>
          <w:cantSplit/>
          <w:jc w:val="center"/>
        </w:trPr>
        <w:tc>
          <w:tcPr>
            <w:tcW w:w="2673" w:type="dxa"/>
            <w:tcBorders>
              <w:right w:val="single" w:sz="4" w:space="0" w:color="auto"/>
            </w:tcBorders>
          </w:tcPr>
          <w:p w:rsidR="007E2BC7" w:rsidRPr="004E6761" w14:paraId="304B4615" w14:textId="77777777">
            <w:pPr>
              <w:rPr>
                <w:b/>
                <w:szCs w:val="22"/>
              </w:rPr>
            </w:pPr>
            <w:r w:rsidRPr="004E6761">
              <w:rPr>
                <w:b/>
                <w:szCs w:val="22"/>
              </w:rPr>
              <w:t>Cardiac disorders</w:t>
            </w:r>
          </w:p>
        </w:tc>
        <w:tc>
          <w:tcPr>
            <w:tcW w:w="2480" w:type="dxa"/>
            <w:tcBorders>
              <w:left w:val="single" w:sz="4" w:space="0" w:color="auto"/>
              <w:right w:val="single" w:sz="4" w:space="0" w:color="auto"/>
            </w:tcBorders>
          </w:tcPr>
          <w:p w:rsidR="007E2BC7" w:rsidRPr="004E6761" w14:paraId="52CC6886" w14:textId="77777777">
            <w:pPr>
              <w:rPr>
                <w:szCs w:val="22"/>
              </w:rPr>
            </w:pPr>
            <w:r w:rsidRPr="004E6761">
              <w:t>Atrial fibrillation</w:t>
            </w:r>
          </w:p>
        </w:tc>
        <w:tc>
          <w:tcPr>
            <w:tcW w:w="1542" w:type="dxa"/>
            <w:tcBorders>
              <w:left w:val="single" w:sz="4" w:space="0" w:color="auto"/>
              <w:right w:val="single" w:sz="4" w:space="0" w:color="auto"/>
            </w:tcBorders>
          </w:tcPr>
          <w:p w:rsidR="007E2BC7" w:rsidRPr="004E6761" w14:paraId="06D2AECE" w14:textId="77777777">
            <w:pPr>
              <w:rPr>
                <w:szCs w:val="22"/>
              </w:rPr>
            </w:pPr>
            <w:r w:rsidRPr="004E6761">
              <w:rPr>
                <w:szCs w:val="22"/>
              </w:rPr>
              <w:t>Common</w:t>
            </w:r>
          </w:p>
        </w:tc>
        <w:tc>
          <w:tcPr>
            <w:tcW w:w="1226" w:type="dxa"/>
            <w:tcBorders>
              <w:left w:val="single" w:sz="4" w:space="0" w:color="auto"/>
              <w:right w:val="single" w:sz="4" w:space="0" w:color="auto"/>
            </w:tcBorders>
            <w:vAlign w:val="bottom"/>
          </w:tcPr>
          <w:p w:rsidR="007E2BC7" w:rsidRPr="004B6FCF" w14:paraId="5B88CB4F" w14:textId="77777777">
            <w:pPr>
              <w:rPr>
                <w:szCs w:val="22"/>
              </w:rPr>
            </w:pPr>
            <w:r w:rsidRPr="004B6FCF">
              <w:rPr>
                <w:szCs w:val="22"/>
              </w:rPr>
              <w:t>4</w:t>
            </w:r>
          </w:p>
        </w:tc>
        <w:tc>
          <w:tcPr>
            <w:tcW w:w="1151" w:type="dxa"/>
            <w:tcBorders>
              <w:left w:val="single" w:sz="4" w:space="0" w:color="auto"/>
            </w:tcBorders>
            <w:vAlign w:val="bottom"/>
          </w:tcPr>
          <w:p w:rsidR="007E2BC7" w:rsidRPr="004B6FCF" w14:paraId="29EC7190" w14:textId="77777777">
            <w:pPr>
              <w:rPr>
                <w:szCs w:val="22"/>
              </w:rPr>
            </w:pPr>
            <w:r w:rsidRPr="004B6FCF">
              <w:rPr>
                <w:szCs w:val="22"/>
              </w:rPr>
              <w:t>1</w:t>
            </w:r>
          </w:p>
        </w:tc>
      </w:tr>
      <w:tr w14:paraId="0A6826A7" w14:textId="77777777" w:rsidTr="00B428AB">
        <w:tblPrEx>
          <w:tblW w:w="9072" w:type="dxa"/>
          <w:jc w:val="center"/>
          <w:tblLayout w:type="fixed"/>
          <w:tblCellMar>
            <w:left w:w="60" w:type="dxa"/>
            <w:right w:w="60" w:type="dxa"/>
          </w:tblCellMar>
          <w:tblLook w:val="0000"/>
        </w:tblPrEx>
        <w:trPr>
          <w:cantSplit/>
          <w:jc w:val="center"/>
        </w:trPr>
        <w:tc>
          <w:tcPr>
            <w:tcW w:w="2673" w:type="dxa"/>
            <w:tcBorders>
              <w:right w:val="single" w:sz="4" w:space="0" w:color="auto"/>
            </w:tcBorders>
          </w:tcPr>
          <w:p w:rsidR="007E2BC7" w:rsidRPr="004E6761" w14:paraId="5A342D46" w14:textId="77777777">
            <w:pPr>
              <w:rPr>
                <w:b/>
                <w:szCs w:val="22"/>
              </w:rPr>
            </w:pPr>
            <w:r w:rsidRPr="004E6761">
              <w:rPr>
                <w:b/>
                <w:szCs w:val="22"/>
              </w:rPr>
              <w:t>Vascular disorders</w:t>
            </w:r>
          </w:p>
        </w:tc>
        <w:tc>
          <w:tcPr>
            <w:tcW w:w="2480" w:type="dxa"/>
            <w:tcBorders>
              <w:left w:val="single" w:sz="4" w:space="0" w:color="auto"/>
              <w:right w:val="single" w:sz="4" w:space="0" w:color="auto"/>
            </w:tcBorders>
          </w:tcPr>
          <w:p w:rsidR="007E2BC7" w:rsidRPr="004E6761" w14:paraId="1EB9AEC6" w14:textId="77777777">
            <w:r w:rsidRPr="004E6761">
              <w:t>Hypertension</w:t>
            </w:r>
            <w:r w:rsidRPr="004E6761">
              <w:rPr>
                <w:szCs w:val="22"/>
                <w:vertAlign w:val="superscript"/>
              </w:rPr>
              <w:t>a</w:t>
            </w:r>
          </w:p>
        </w:tc>
        <w:tc>
          <w:tcPr>
            <w:tcW w:w="1542" w:type="dxa"/>
            <w:tcBorders>
              <w:left w:val="single" w:sz="4" w:space="0" w:color="auto"/>
              <w:right w:val="single" w:sz="4" w:space="0" w:color="auto"/>
            </w:tcBorders>
          </w:tcPr>
          <w:p w:rsidR="007E2BC7" w:rsidRPr="004E6761" w14:paraId="54729B53" w14:textId="77777777">
            <w:pPr>
              <w:rPr>
                <w:szCs w:val="22"/>
              </w:rPr>
            </w:pPr>
            <w:r w:rsidRPr="004E6761">
              <w:rPr>
                <w:szCs w:val="22"/>
              </w:rPr>
              <w:t>Very common</w:t>
            </w:r>
          </w:p>
        </w:tc>
        <w:tc>
          <w:tcPr>
            <w:tcW w:w="1226" w:type="dxa"/>
            <w:tcBorders>
              <w:left w:val="single" w:sz="4" w:space="0" w:color="auto"/>
              <w:right w:val="single" w:sz="4" w:space="0" w:color="auto"/>
            </w:tcBorders>
            <w:vAlign w:val="bottom"/>
          </w:tcPr>
          <w:p w:rsidR="007E2BC7" w:rsidRPr="004B6FCF" w14:paraId="4BBD9E3C" w14:textId="77777777">
            <w:pPr>
              <w:rPr>
                <w:szCs w:val="22"/>
              </w:rPr>
            </w:pPr>
            <w:r w:rsidRPr="004B6FCF">
              <w:rPr>
                <w:szCs w:val="22"/>
              </w:rPr>
              <w:t>10</w:t>
            </w:r>
          </w:p>
        </w:tc>
        <w:tc>
          <w:tcPr>
            <w:tcW w:w="1151" w:type="dxa"/>
            <w:tcBorders>
              <w:left w:val="single" w:sz="4" w:space="0" w:color="auto"/>
            </w:tcBorders>
            <w:vAlign w:val="bottom"/>
          </w:tcPr>
          <w:p w:rsidR="007E2BC7" w:rsidRPr="004B6FCF" w14:paraId="446C50E4" w14:textId="77777777">
            <w:pPr>
              <w:rPr>
                <w:szCs w:val="22"/>
              </w:rPr>
            </w:pPr>
            <w:r w:rsidRPr="004B6FCF">
              <w:rPr>
                <w:szCs w:val="22"/>
              </w:rPr>
              <w:t>5</w:t>
            </w:r>
          </w:p>
        </w:tc>
      </w:tr>
      <w:tr w14:paraId="251601E3" w14:textId="77777777" w:rsidTr="00B428AB">
        <w:tblPrEx>
          <w:tblW w:w="9072" w:type="dxa"/>
          <w:jc w:val="center"/>
          <w:tblLayout w:type="fixed"/>
          <w:tblCellMar>
            <w:left w:w="60" w:type="dxa"/>
            <w:right w:w="60" w:type="dxa"/>
          </w:tblCellMar>
          <w:tblLook w:val="0000"/>
        </w:tblPrEx>
        <w:trPr>
          <w:cantSplit/>
          <w:jc w:val="center"/>
        </w:trPr>
        <w:tc>
          <w:tcPr>
            <w:tcW w:w="2673" w:type="dxa"/>
            <w:vMerge w:val="restart"/>
            <w:tcBorders>
              <w:right w:val="single" w:sz="4" w:space="0" w:color="auto"/>
            </w:tcBorders>
          </w:tcPr>
          <w:p w:rsidR="007E2BC7" w:rsidRPr="004E6761" w14:paraId="589F96C1" w14:textId="77777777">
            <w:pPr>
              <w:rPr>
                <w:b/>
                <w:szCs w:val="22"/>
              </w:rPr>
            </w:pPr>
            <w:r w:rsidRPr="004E6761">
              <w:rPr>
                <w:b/>
                <w:szCs w:val="22"/>
              </w:rPr>
              <w:t>Respiratory, thoracic and mediastinal disorders</w:t>
            </w:r>
          </w:p>
        </w:tc>
        <w:tc>
          <w:tcPr>
            <w:tcW w:w="2480" w:type="dxa"/>
            <w:tcBorders>
              <w:left w:val="single" w:sz="4" w:space="0" w:color="auto"/>
              <w:right w:val="single" w:sz="4" w:space="0" w:color="auto"/>
            </w:tcBorders>
          </w:tcPr>
          <w:p w:rsidR="007E2BC7" w:rsidRPr="004E6761" w14:paraId="7D674BE4" w14:textId="77777777">
            <w:pPr>
              <w:rPr>
                <w:szCs w:val="22"/>
              </w:rPr>
            </w:pPr>
            <w:r w:rsidRPr="004E6761">
              <w:rPr>
                <w:szCs w:val="22"/>
              </w:rPr>
              <w:t>Cough</w:t>
            </w:r>
            <w:r w:rsidRPr="004E6761">
              <w:rPr>
                <w:szCs w:val="22"/>
                <w:vertAlign w:val="superscript"/>
              </w:rPr>
              <w:t>a</w:t>
            </w:r>
          </w:p>
        </w:tc>
        <w:tc>
          <w:tcPr>
            <w:tcW w:w="1542" w:type="dxa"/>
            <w:vMerge w:val="restart"/>
            <w:tcBorders>
              <w:left w:val="single" w:sz="4" w:space="0" w:color="auto"/>
              <w:right w:val="single" w:sz="4" w:space="0" w:color="auto"/>
            </w:tcBorders>
          </w:tcPr>
          <w:p w:rsidR="007E2BC7" w:rsidRPr="004E6761" w14:paraId="7ED76B9A" w14:textId="77777777">
            <w:pPr>
              <w:rPr>
                <w:szCs w:val="22"/>
              </w:rPr>
            </w:pPr>
            <w:r w:rsidRPr="004E6761">
              <w:rPr>
                <w:szCs w:val="22"/>
              </w:rPr>
              <w:t>Very common</w:t>
            </w:r>
          </w:p>
        </w:tc>
        <w:tc>
          <w:tcPr>
            <w:tcW w:w="1226" w:type="dxa"/>
            <w:tcBorders>
              <w:left w:val="single" w:sz="4" w:space="0" w:color="auto"/>
              <w:right w:val="single" w:sz="4" w:space="0" w:color="auto"/>
            </w:tcBorders>
            <w:vAlign w:val="bottom"/>
          </w:tcPr>
          <w:p w:rsidR="007E2BC7" w:rsidRPr="004B6FCF" w14:paraId="2947E3DD" w14:textId="77777777">
            <w:pPr>
              <w:rPr>
                <w:szCs w:val="22"/>
              </w:rPr>
            </w:pPr>
            <w:r w:rsidRPr="004B6FCF">
              <w:rPr>
                <w:szCs w:val="22"/>
              </w:rPr>
              <w:t>25</w:t>
            </w:r>
          </w:p>
        </w:tc>
        <w:tc>
          <w:tcPr>
            <w:tcW w:w="1151" w:type="dxa"/>
            <w:tcBorders>
              <w:left w:val="single" w:sz="4" w:space="0" w:color="auto"/>
            </w:tcBorders>
            <w:vAlign w:val="bottom"/>
          </w:tcPr>
          <w:p w:rsidR="007E2BC7" w:rsidRPr="004B6FCF" w14:paraId="45FD64EF" w14:textId="77777777">
            <w:pPr>
              <w:rPr>
                <w:szCs w:val="22"/>
              </w:rPr>
            </w:pPr>
            <w:r w:rsidRPr="004B6FCF">
              <w:rPr>
                <w:szCs w:val="22"/>
              </w:rPr>
              <w:t>&lt;1*</w:t>
            </w:r>
          </w:p>
        </w:tc>
      </w:tr>
      <w:tr w14:paraId="1CB14D91" w14:textId="77777777" w:rsidTr="00B428AB">
        <w:tblPrEx>
          <w:tblW w:w="9072" w:type="dxa"/>
          <w:jc w:val="center"/>
          <w:tblLayout w:type="fixed"/>
          <w:tblCellMar>
            <w:left w:w="60" w:type="dxa"/>
            <w:right w:w="60" w:type="dxa"/>
          </w:tblCellMar>
          <w:tblLook w:val="0000"/>
        </w:tblPrEx>
        <w:trPr>
          <w:cantSplit/>
          <w:jc w:val="center"/>
        </w:trPr>
        <w:tc>
          <w:tcPr>
            <w:tcW w:w="2673" w:type="dxa"/>
            <w:vMerge/>
            <w:tcBorders>
              <w:right w:val="single" w:sz="4" w:space="0" w:color="auto"/>
            </w:tcBorders>
          </w:tcPr>
          <w:p w:rsidR="007E2BC7" w:rsidRPr="004E6761" w14:paraId="58532BDE" w14:textId="77777777">
            <w:pPr>
              <w:rPr>
                <w:b/>
                <w:szCs w:val="22"/>
              </w:rPr>
            </w:pPr>
          </w:p>
        </w:tc>
        <w:tc>
          <w:tcPr>
            <w:tcW w:w="2480" w:type="dxa"/>
            <w:tcBorders>
              <w:left w:val="single" w:sz="4" w:space="0" w:color="auto"/>
              <w:right w:val="single" w:sz="4" w:space="0" w:color="auto"/>
            </w:tcBorders>
          </w:tcPr>
          <w:p w:rsidR="007E2BC7" w:rsidRPr="004E6761" w14:paraId="09C6CBA7" w14:textId="77777777">
            <w:pPr>
              <w:rPr>
                <w:szCs w:val="22"/>
              </w:rPr>
            </w:pPr>
            <w:r w:rsidRPr="004E6761">
              <w:rPr>
                <w:szCs w:val="22"/>
              </w:rPr>
              <w:t>Dyspnoea</w:t>
            </w:r>
            <w:r w:rsidRPr="004E6761">
              <w:rPr>
                <w:szCs w:val="22"/>
                <w:vertAlign w:val="superscript"/>
              </w:rPr>
              <w:t>a</w:t>
            </w:r>
          </w:p>
        </w:tc>
        <w:tc>
          <w:tcPr>
            <w:tcW w:w="1542" w:type="dxa"/>
            <w:vMerge/>
            <w:tcBorders>
              <w:left w:val="single" w:sz="4" w:space="0" w:color="auto"/>
              <w:right w:val="single" w:sz="4" w:space="0" w:color="auto"/>
            </w:tcBorders>
          </w:tcPr>
          <w:p w:rsidR="007E2BC7" w:rsidRPr="004E6761" w14:paraId="2A7F7DA4" w14:textId="77777777">
            <w:pPr>
              <w:rPr>
                <w:szCs w:val="22"/>
              </w:rPr>
            </w:pPr>
          </w:p>
        </w:tc>
        <w:tc>
          <w:tcPr>
            <w:tcW w:w="1226" w:type="dxa"/>
            <w:tcBorders>
              <w:left w:val="single" w:sz="4" w:space="0" w:color="auto"/>
              <w:right w:val="single" w:sz="4" w:space="0" w:color="auto"/>
            </w:tcBorders>
            <w:vAlign w:val="bottom"/>
          </w:tcPr>
          <w:p w:rsidR="007E2BC7" w:rsidRPr="004B6FCF" w14:paraId="7803CA5A" w14:textId="77777777">
            <w:pPr>
              <w:rPr>
                <w:szCs w:val="22"/>
              </w:rPr>
            </w:pPr>
            <w:r w:rsidRPr="004B6FCF">
              <w:rPr>
                <w:szCs w:val="22"/>
              </w:rPr>
              <w:t>21</w:t>
            </w:r>
          </w:p>
        </w:tc>
        <w:tc>
          <w:tcPr>
            <w:tcW w:w="1151" w:type="dxa"/>
            <w:tcBorders>
              <w:left w:val="single" w:sz="4" w:space="0" w:color="auto"/>
            </w:tcBorders>
            <w:vAlign w:val="bottom"/>
          </w:tcPr>
          <w:p w:rsidR="007E2BC7" w:rsidRPr="004B6FCF" w14:paraId="4476CD5D" w14:textId="77777777">
            <w:pPr>
              <w:rPr>
                <w:szCs w:val="22"/>
              </w:rPr>
            </w:pPr>
            <w:r w:rsidRPr="004B6FCF">
              <w:rPr>
                <w:szCs w:val="22"/>
              </w:rPr>
              <w:t>3</w:t>
            </w:r>
          </w:p>
        </w:tc>
      </w:tr>
      <w:tr w14:paraId="2AC6F434" w14:textId="77777777" w:rsidTr="00B428AB">
        <w:tblPrEx>
          <w:tblW w:w="9072" w:type="dxa"/>
          <w:jc w:val="center"/>
          <w:tblLayout w:type="fixed"/>
          <w:tblCellMar>
            <w:left w:w="60" w:type="dxa"/>
            <w:right w:w="60" w:type="dxa"/>
          </w:tblCellMar>
          <w:tblLook w:val="0000"/>
        </w:tblPrEx>
        <w:trPr>
          <w:cantSplit/>
          <w:jc w:val="center"/>
        </w:trPr>
        <w:tc>
          <w:tcPr>
            <w:tcW w:w="2673" w:type="dxa"/>
            <w:vMerge/>
            <w:tcBorders>
              <w:right w:val="single" w:sz="4" w:space="0" w:color="auto"/>
            </w:tcBorders>
          </w:tcPr>
          <w:p w:rsidR="007E2BC7" w:rsidRPr="004E6761" w14:paraId="58F972EA" w14:textId="77777777">
            <w:pPr>
              <w:rPr>
                <w:b/>
                <w:szCs w:val="22"/>
              </w:rPr>
            </w:pPr>
          </w:p>
        </w:tc>
        <w:tc>
          <w:tcPr>
            <w:tcW w:w="2480" w:type="dxa"/>
            <w:tcBorders>
              <w:left w:val="single" w:sz="4" w:space="0" w:color="auto"/>
              <w:right w:val="single" w:sz="4" w:space="0" w:color="auto"/>
            </w:tcBorders>
          </w:tcPr>
          <w:p w:rsidR="007E2BC7" w:rsidRPr="004E6761" w14:paraId="74BA6088" w14:textId="77777777">
            <w:pPr>
              <w:rPr>
                <w:szCs w:val="22"/>
              </w:rPr>
            </w:pPr>
            <w:r w:rsidRPr="004E6761">
              <w:t>Pulmonary oedema</w:t>
            </w:r>
            <w:r w:rsidRPr="004E6761">
              <w:rPr>
                <w:szCs w:val="22"/>
                <w:vertAlign w:val="superscript"/>
              </w:rPr>
              <w:t>a</w:t>
            </w:r>
          </w:p>
        </w:tc>
        <w:tc>
          <w:tcPr>
            <w:tcW w:w="1542" w:type="dxa"/>
            <w:tcBorders>
              <w:left w:val="single" w:sz="4" w:space="0" w:color="auto"/>
              <w:right w:val="single" w:sz="4" w:space="0" w:color="auto"/>
            </w:tcBorders>
          </w:tcPr>
          <w:p w:rsidR="007E2BC7" w:rsidRPr="004E6761" w14:paraId="2D164655" w14:textId="77777777">
            <w:pPr>
              <w:rPr>
                <w:szCs w:val="22"/>
              </w:rPr>
            </w:pPr>
            <w:r w:rsidRPr="004E6761">
              <w:rPr>
                <w:szCs w:val="22"/>
              </w:rPr>
              <w:t>Common</w:t>
            </w:r>
          </w:p>
        </w:tc>
        <w:tc>
          <w:tcPr>
            <w:tcW w:w="1226" w:type="dxa"/>
            <w:tcBorders>
              <w:left w:val="single" w:sz="4" w:space="0" w:color="auto"/>
              <w:right w:val="single" w:sz="4" w:space="0" w:color="auto"/>
            </w:tcBorders>
            <w:vAlign w:val="bottom"/>
          </w:tcPr>
          <w:p w:rsidR="007E2BC7" w:rsidRPr="004B6FCF" w14:paraId="4A94E759" w14:textId="77777777">
            <w:pPr>
              <w:rPr>
                <w:szCs w:val="22"/>
              </w:rPr>
            </w:pPr>
            <w:r w:rsidRPr="004B6FCF">
              <w:rPr>
                <w:szCs w:val="22"/>
              </w:rPr>
              <w:t>1</w:t>
            </w:r>
          </w:p>
        </w:tc>
        <w:tc>
          <w:tcPr>
            <w:tcW w:w="1151" w:type="dxa"/>
            <w:tcBorders>
              <w:left w:val="single" w:sz="4" w:space="0" w:color="auto"/>
            </w:tcBorders>
            <w:vAlign w:val="bottom"/>
          </w:tcPr>
          <w:p w:rsidR="007E2BC7" w:rsidRPr="004B6FCF" w14:paraId="4D7C0B36" w14:textId="77777777">
            <w:pPr>
              <w:rPr>
                <w:szCs w:val="22"/>
              </w:rPr>
            </w:pPr>
            <w:r w:rsidRPr="004B6FCF">
              <w:rPr>
                <w:szCs w:val="22"/>
              </w:rPr>
              <w:t>&lt;1</w:t>
            </w:r>
          </w:p>
        </w:tc>
      </w:tr>
      <w:tr w14:paraId="2F761B65" w14:textId="77777777" w:rsidTr="00B428AB">
        <w:tblPrEx>
          <w:tblW w:w="9072" w:type="dxa"/>
          <w:jc w:val="center"/>
          <w:tblLayout w:type="fixed"/>
          <w:tblCellMar>
            <w:left w:w="60" w:type="dxa"/>
            <w:right w:w="60" w:type="dxa"/>
          </w:tblCellMar>
          <w:tblLook w:val="0000"/>
        </w:tblPrEx>
        <w:trPr>
          <w:cantSplit/>
          <w:jc w:val="center"/>
        </w:trPr>
        <w:tc>
          <w:tcPr>
            <w:tcW w:w="2673" w:type="dxa"/>
            <w:vMerge w:val="restart"/>
            <w:tcBorders>
              <w:right w:val="single" w:sz="4" w:space="0" w:color="auto"/>
            </w:tcBorders>
          </w:tcPr>
          <w:p w:rsidR="00B428AB" w:rsidRPr="004E6761" w14:paraId="2D9343B6" w14:textId="77777777">
            <w:pPr>
              <w:rPr>
                <w:b/>
                <w:szCs w:val="22"/>
              </w:rPr>
            </w:pPr>
            <w:r w:rsidRPr="004E6761">
              <w:rPr>
                <w:b/>
                <w:szCs w:val="22"/>
              </w:rPr>
              <w:t>Gastrointestinal disorders</w:t>
            </w:r>
          </w:p>
        </w:tc>
        <w:tc>
          <w:tcPr>
            <w:tcW w:w="2480" w:type="dxa"/>
            <w:tcBorders>
              <w:left w:val="single" w:sz="4" w:space="0" w:color="auto"/>
              <w:right w:val="single" w:sz="4" w:space="0" w:color="auto"/>
            </w:tcBorders>
          </w:tcPr>
          <w:p w:rsidR="00B428AB" w:rsidRPr="004E6761" w14:paraId="05996846" w14:textId="77777777">
            <w:pPr>
              <w:rPr>
                <w:szCs w:val="22"/>
              </w:rPr>
            </w:pPr>
            <w:r w:rsidRPr="004E6761">
              <w:rPr>
                <w:szCs w:val="22"/>
              </w:rPr>
              <w:t>Constipation</w:t>
            </w:r>
          </w:p>
        </w:tc>
        <w:tc>
          <w:tcPr>
            <w:tcW w:w="1542" w:type="dxa"/>
            <w:vMerge w:val="restart"/>
            <w:tcBorders>
              <w:left w:val="single" w:sz="4" w:space="0" w:color="auto"/>
              <w:right w:val="single" w:sz="4" w:space="0" w:color="auto"/>
            </w:tcBorders>
          </w:tcPr>
          <w:p w:rsidR="00B428AB" w:rsidRPr="004E6761" w14:paraId="69420005" w14:textId="77777777">
            <w:pPr>
              <w:rPr>
                <w:szCs w:val="22"/>
              </w:rPr>
            </w:pPr>
            <w:r w:rsidRPr="004E6761">
              <w:rPr>
                <w:szCs w:val="22"/>
              </w:rPr>
              <w:t>Very common</w:t>
            </w:r>
          </w:p>
        </w:tc>
        <w:tc>
          <w:tcPr>
            <w:tcW w:w="1226" w:type="dxa"/>
            <w:tcBorders>
              <w:left w:val="single" w:sz="4" w:space="0" w:color="auto"/>
              <w:right w:val="single" w:sz="4" w:space="0" w:color="auto"/>
            </w:tcBorders>
            <w:vAlign w:val="bottom"/>
          </w:tcPr>
          <w:p w:rsidR="00B428AB" w:rsidRPr="004B6FCF" w14:paraId="2407C1AB" w14:textId="77777777">
            <w:pPr>
              <w:rPr>
                <w:szCs w:val="22"/>
              </w:rPr>
            </w:pPr>
            <w:r w:rsidRPr="004B6FCF">
              <w:rPr>
                <w:szCs w:val="22"/>
              </w:rPr>
              <w:t>33</w:t>
            </w:r>
          </w:p>
        </w:tc>
        <w:tc>
          <w:tcPr>
            <w:tcW w:w="1151" w:type="dxa"/>
            <w:tcBorders>
              <w:left w:val="single" w:sz="4" w:space="0" w:color="auto"/>
            </w:tcBorders>
            <w:vAlign w:val="bottom"/>
          </w:tcPr>
          <w:p w:rsidR="00B428AB" w:rsidRPr="004B6FCF" w14:paraId="589D8EA4" w14:textId="77777777">
            <w:pPr>
              <w:rPr>
                <w:szCs w:val="22"/>
              </w:rPr>
            </w:pPr>
            <w:r w:rsidRPr="004B6FCF">
              <w:rPr>
                <w:szCs w:val="22"/>
              </w:rPr>
              <w:t>1</w:t>
            </w:r>
          </w:p>
        </w:tc>
      </w:tr>
      <w:tr w14:paraId="15A77F20" w14:textId="77777777" w:rsidTr="00B428AB">
        <w:tblPrEx>
          <w:tblW w:w="9072" w:type="dxa"/>
          <w:jc w:val="center"/>
          <w:tblLayout w:type="fixed"/>
          <w:tblCellMar>
            <w:left w:w="60" w:type="dxa"/>
            <w:right w:w="60" w:type="dxa"/>
          </w:tblCellMar>
          <w:tblLook w:val="0000"/>
        </w:tblPrEx>
        <w:trPr>
          <w:cantSplit/>
          <w:jc w:val="center"/>
        </w:trPr>
        <w:tc>
          <w:tcPr>
            <w:tcW w:w="2673" w:type="dxa"/>
            <w:vMerge/>
            <w:tcBorders>
              <w:right w:val="single" w:sz="4" w:space="0" w:color="auto"/>
            </w:tcBorders>
          </w:tcPr>
          <w:p w:rsidR="00B428AB" w:rsidRPr="004E6761" w14:paraId="6105C828" w14:textId="77777777">
            <w:pPr>
              <w:rPr>
                <w:b/>
                <w:szCs w:val="22"/>
              </w:rPr>
            </w:pPr>
          </w:p>
        </w:tc>
        <w:tc>
          <w:tcPr>
            <w:tcW w:w="2480" w:type="dxa"/>
            <w:tcBorders>
              <w:left w:val="single" w:sz="4" w:space="0" w:color="auto"/>
              <w:right w:val="single" w:sz="4" w:space="0" w:color="auto"/>
            </w:tcBorders>
          </w:tcPr>
          <w:p w:rsidR="00B428AB" w:rsidRPr="004E6761" w14:paraId="35DC97E6" w14:textId="77777777">
            <w:pPr>
              <w:rPr>
                <w:szCs w:val="22"/>
              </w:rPr>
            </w:pPr>
            <w:r w:rsidRPr="004E6761">
              <w:rPr>
                <w:szCs w:val="22"/>
              </w:rPr>
              <w:t>Diarrhoea</w:t>
            </w:r>
          </w:p>
        </w:tc>
        <w:tc>
          <w:tcPr>
            <w:tcW w:w="1542" w:type="dxa"/>
            <w:vMerge/>
            <w:tcBorders>
              <w:left w:val="single" w:sz="4" w:space="0" w:color="auto"/>
              <w:right w:val="single" w:sz="4" w:space="0" w:color="auto"/>
            </w:tcBorders>
          </w:tcPr>
          <w:p w:rsidR="00B428AB" w:rsidRPr="004E6761" w14:paraId="6ABC2593" w14:textId="77777777">
            <w:pPr>
              <w:rPr>
                <w:szCs w:val="22"/>
              </w:rPr>
            </w:pPr>
          </w:p>
        </w:tc>
        <w:tc>
          <w:tcPr>
            <w:tcW w:w="1226" w:type="dxa"/>
            <w:tcBorders>
              <w:left w:val="single" w:sz="4" w:space="0" w:color="auto"/>
              <w:right w:val="single" w:sz="4" w:space="0" w:color="auto"/>
            </w:tcBorders>
            <w:vAlign w:val="bottom"/>
          </w:tcPr>
          <w:p w:rsidR="00B428AB" w:rsidRPr="004B6FCF" w14:paraId="4EFA5C22" w14:textId="77777777">
            <w:pPr>
              <w:rPr>
                <w:szCs w:val="22"/>
              </w:rPr>
            </w:pPr>
            <w:r w:rsidRPr="004B6FCF">
              <w:rPr>
                <w:szCs w:val="22"/>
              </w:rPr>
              <w:t>32</w:t>
            </w:r>
          </w:p>
        </w:tc>
        <w:tc>
          <w:tcPr>
            <w:tcW w:w="1151" w:type="dxa"/>
            <w:tcBorders>
              <w:left w:val="single" w:sz="4" w:space="0" w:color="auto"/>
            </w:tcBorders>
            <w:vAlign w:val="bottom"/>
          </w:tcPr>
          <w:p w:rsidR="00B428AB" w:rsidRPr="004B6FCF" w14:paraId="75AD551F" w14:textId="77777777">
            <w:pPr>
              <w:rPr>
                <w:szCs w:val="22"/>
              </w:rPr>
            </w:pPr>
            <w:r w:rsidRPr="004B6FCF">
              <w:rPr>
                <w:szCs w:val="22"/>
              </w:rPr>
              <w:t>4</w:t>
            </w:r>
          </w:p>
        </w:tc>
      </w:tr>
      <w:tr w14:paraId="2EFDF787" w14:textId="77777777" w:rsidTr="00B428AB">
        <w:tblPrEx>
          <w:tblW w:w="9072" w:type="dxa"/>
          <w:jc w:val="center"/>
          <w:tblLayout w:type="fixed"/>
          <w:tblCellMar>
            <w:left w:w="60" w:type="dxa"/>
            <w:right w:w="60" w:type="dxa"/>
          </w:tblCellMar>
          <w:tblLook w:val="0000"/>
        </w:tblPrEx>
        <w:trPr>
          <w:cantSplit/>
          <w:jc w:val="center"/>
        </w:trPr>
        <w:tc>
          <w:tcPr>
            <w:tcW w:w="2673" w:type="dxa"/>
            <w:vMerge/>
            <w:tcBorders>
              <w:right w:val="single" w:sz="4" w:space="0" w:color="auto"/>
            </w:tcBorders>
          </w:tcPr>
          <w:p w:rsidR="00B428AB" w:rsidRPr="004E6761" w14:paraId="55C4A1A6" w14:textId="77777777">
            <w:pPr>
              <w:rPr>
                <w:b/>
                <w:szCs w:val="22"/>
              </w:rPr>
            </w:pPr>
          </w:p>
        </w:tc>
        <w:tc>
          <w:tcPr>
            <w:tcW w:w="2480" w:type="dxa"/>
            <w:tcBorders>
              <w:left w:val="single" w:sz="4" w:space="0" w:color="auto"/>
              <w:right w:val="single" w:sz="4" w:space="0" w:color="auto"/>
            </w:tcBorders>
          </w:tcPr>
          <w:p w:rsidR="00B428AB" w:rsidRPr="004E6761" w14:paraId="737A51E4" w14:textId="77777777">
            <w:pPr>
              <w:rPr>
                <w:szCs w:val="22"/>
              </w:rPr>
            </w:pPr>
            <w:r w:rsidRPr="004E6761">
              <w:rPr>
                <w:szCs w:val="22"/>
              </w:rPr>
              <w:t>Nausea</w:t>
            </w:r>
          </w:p>
        </w:tc>
        <w:tc>
          <w:tcPr>
            <w:tcW w:w="1542" w:type="dxa"/>
            <w:vMerge/>
            <w:tcBorders>
              <w:left w:val="single" w:sz="4" w:space="0" w:color="auto"/>
              <w:right w:val="single" w:sz="4" w:space="0" w:color="auto"/>
            </w:tcBorders>
          </w:tcPr>
          <w:p w:rsidR="00B428AB" w:rsidRPr="004E6761" w14:paraId="36A489F2" w14:textId="77777777">
            <w:pPr>
              <w:rPr>
                <w:szCs w:val="22"/>
              </w:rPr>
            </w:pPr>
          </w:p>
        </w:tc>
        <w:tc>
          <w:tcPr>
            <w:tcW w:w="1226" w:type="dxa"/>
            <w:tcBorders>
              <w:left w:val="single" w:sz="4" w:space="0" w:color="auto"/>
              <w:right w:val="single" w:sz="4" w:space="0" w:color="auto"/>
            </w:tcBorders>
            <w:vAlign w:val="bottom"/>
          </w:tcPr>
          <w:p w:rsidR="00B428AB" w:rsidRPr="004B6FCF" w14:paraId="614CD4F7" w14:textId="77777777">
            <w:pPr>
              <w:rPr>
                <w:szCs w:val="22"/>
              </w:rPr>
            </w:pPr>
            <w:r w:rsidRPr="004B6FCF">
              <w:rPr>
                <w:szCs w:val="22"/>
              </w:rPr>
              <w:t>26</w:t>
            </w:r>
          </w:p>
        </w:tc>
        <w:tc>
          <w:tcPr>
            <w:tcW w:w="1151" w:type="dxa"/>
            <w:tcBorders>
              <w:left w:val="single" w:sz="4" w:space="0" w:color="auto"/>
            </w:tcBorders>
            <w:vAlign w:val="bottom"/>
          </w:tcPr>
          <w:p w:rsidR="00B428AB" w:rsidRPr="004B6FCF" w14:paraId="5B92EF94" w14:textId="77777777">
            <w:pPr>
              <w:rPr>
                <w:szCs w:val="22"/>
              </w:rPr>
            </w:pPr>
            <w:r w:rsidRPr="004B6FCF">
              <w:rPr>
                <w:szCs w:val="22"/>
              </w:rPr>
              <w:t>2*</w:t>
            </w:r>
          </w:p>
        </w:tc>
      </w:tr>
      <w:tr w14:paraId="300EECE0" w14:textId="77777777" w:rsidTr="00B428AB">
        <w:tblPrEx>
          <w:tblW w:w="9072" w:type="dxa"/>
          <w:jc w:val="center"/>
          <w:tblLayout w:type="fixed"/>
          <w:tblCellMar>
            <w:left w:w="60" w:type="dxa"/>
            <w:right w:w="60" w:type="dxa"/>
          </w:tblCellMar>
          <w:tblLook w:val="0000"/>
        </w:tblPrEx>
        <w:trPr>
          <w:cantSplit/>
          <w:trHeight w:val="64"/>
          <w:jc w:val="center"/>
        </w:trPr>
        <w:tc>
          <w:tcPr>
            <w:tcW w:w="2673" w:type="dxa"/>
            <w:vMerge/>
            <w:tcBorders>
              <w:right w:val="single" w:sz="4" w:space="0" w:color="auto"/>
            </w:tcBorders>
          </w:tcPr>
          <w:p w:rsidR="00B428AB" w:rsidRPr="004E6761" w14:paraId="600DCC0F" w14:textId="77777777">
            <w:pPr>
              <w:rPr>
                <w:b/>
                <w:szCs w:val="22"/>
              </w:rPr>
            </w:pPr>
          </w:p>
        </w:tc>
        <w:tc>
          <w:tcPr>
            <w:tcW w:w="2480" w:type="dxa"/>
            <w:tcBorders>
              <w:left w:val="single" w:sz="4" w:space="0" w:color="auto"/>
              <w:right w:val="single" w:sz="4" w:space="0" w:color="auto"/>
            </w:tcBorders>
          </w:tcPr>
          <w:p w:rsidR="00B428AB" w:rsidRPr="004E6761" w14:paraId="0C5A495F" w14:textId="77777777">
            <w:pPr>
              <w:rPr>
                <w:szCs w:val="22"/>
              </w:rPr>
            </w:pPr>
            <w:r w:rsidRPr="004E6761">
              <w:rPr>
                <w:szCs w:val="22"/>
              </w:rPr>
              <w:t>Vomiting</w:t>
            </w:r>
          </w:p>
        </w:tc>
        <w:tc>
          <w:tcPr>
            <w:tcW w:w="1542" w:type="dxa"/>
            <w:vMerge/>
            <w:tcBorders>
              <w:left w:val="single" w:sz="4" w:space="0" w:color="auto"/>
              <w:right w:val="single" w:sz="4" w:space="0" w:color="auto"/>
            </w:tcBorders>
          </w:tcPr>
          <w:p w:rsidR="00B428AB" w:rsidRPr="004E6761" w14:paraId="7EBD86E4" w14:textId="77777777">
            <w:pPr>
              <w:rPr>
                <w:szCs w:val="22"/>
              </w:rPr>
            </w:pPr>
          </w:p>
        </w:tc>
        <w:tc>
          <w:tcPr>
            <w:tcW w:w="1226" w:type="dxa"/>
            <w:tcBorders>
              <w:left w:val="single" w:sz="4" w:space="0" w:color="auto"/>
              <w:right w:val="single" w:sz="4" w:space="0" w:color="auto"/>
            </w:tcBorders>
            <w:vAlign w:val="bottom"/>
          </w:tcPr>
          <w:p w:rsidR="00B428AB" w:rsidRPr="004B6FCF" w14:paraId="47ECE0AC" w14:textId="77777777">
            <w:pPr>
              <w:rPr>
                <w:szCs w:val="22"/>
              </w:rPr>
            </w:pPr>
            <w:r w:rsidRPr="004B6FCF">
              <w:rPr>
                <w:szCs w:val="22"/>
              </w:rPr>
              <w:t>16</w:t>
            </w:r>
          </w:p>
        </w:tc>
        <w:tc>
          <w:tcPr>
            <w:tcW w:w="1151" w:type="dxa"/>
            <w:tcBorders>
              <w:left w:val="single" w:sz="4" w:space="0" w:color="auto"/>
            </w:tcBorders>
            <w:vAlign w:val="bottom"/>
          </w:tcPr>
          <w:p w:rsidR="00B428AB" w:rsidRPr="004B6FCF" w14:paraId="65740C76" w14:textId="77777777">
            <w:pPr>
              <w:rPr>
                <w:szCs w:val="22"/>
              </w:rPr>
            </w:pPr>
            <w:r w:rsidRPr="004B6FCF">
              <w:rPr>
                <w:szCs w:val="22"/>
              </w:rPr>
              <w:t>1*</w:t>
            </w:r>
          </w:p>
        </w:tc>
      </w:tr>
      <w:tr w14:paraId="61F04138" w14:textId="77777777" w:rsidTr="00434AA0">
        <w:tblPrEx>
          <w:tblW w:w="9072" w:type="dxa"/>
          <w:jc w:val="center"/>
          <w:tblLayout w:type="fixed"/>
          <w:tblCellMar>
            <w:left w:w="60" w:type="dxa"/>
            <w:right w:w="60" w:type="dxa"/>
          </w:tblCellMar>
          <w:tblLook w:val="0000"/>
        </w:tblPrEx>
        <w:trPr>
          <w:cantSplit/>
          <w:trHeight w:val="64"/>
          <w:jc w:val="center"/>
        </w:trPr>
        <w:tc>
          <w:tcPr>
            <w:tcW w:w="2673" w:type="dxa"/>
            <w:vMerge/>
            <w:tcBorders>
              <w:right w:val="single" w:sz="4" w:space="0" w:color="auto"/>
            </w:tcBorders>
          </w:tcPr>
          <w:p w:rsidR="00B428AB" w:rsidRPr="004E6761" w:rsidP="003B4ED6" w14:paraId="3C27B699" w14:textId="77777777">
            <w:pPr>
              <w:rPr>
                <w:b/>
                <w:szCs w:val="22"/>
              </w:rPr>
            </w:pPr>
          </w:p>
        </w:tc>
        <w:tc>
          <w:tcPr>
            <w:tcW w:w="2480" w:type="dxa"/>
            <w:tcBorders>
              <w:left w:val="single" w:sz="4" w:space="0" w:color="auto"/>
              <w:right w:val="single" w:sz="4" w:space="0" w:color="auto"/>
            </w:tcBorders>
          </w:tcPr>
          <w:p w:rsidR="00B428AB" w:rsidRPr="004B6FCF" w:rsidP="003B4ED6" w14:paraId="5A94F0A9" w14:textId="2B6245AC">
            <w:pPr>
              <w:rPr>
                <w:szCs w:val="22"/>
              </w:rPr>
            </w:pPr>
            <w:r w:rsidRPr="004B6FCF">
              <w:t>Abdominal paina</w:t>
            </w:r>
          </w:p>
        </w:tc>
        <w:tc>
          <w:tcPr>
            <w:tcW w:w="1542" w:type="dxa"/>
            <w:vMerge/>
            <w:tcBorders>
              <w:left w:val="single" w:sz="4" w:space="0" w:color="auto"/>
              <w:right w:val="single" w:sz="4" w:space="0" w:color="auto"/>
            </w:tcBorders>
          </w:tcPr>
          <w:p w:rsidR="00B428AB" w:rsidRPr="004B6FCF" w:rsidP="003B4ED6" w14:paraId="1EE15E82" w14:textId="77777777">
            <w:pPr>
              <w:rPr>
                <w:szCs w:val="22"/>
              </w:rPr>
            </w:pPr>
          </w:p>
        </w:tc>
        <w:tc>
          <w:tcPr>
            <w:tcW w:w="1226" w:type="dxa"/>
            <w:tcBorders>
              <w:left w:val="single" w:sz="4" w:space="0" w:color="auto"/>
              <w:right w:val="single" w:sz="4" w:space="0" w:color="auto"/>
            </w:tcBorders>
          </w:tcPr>
          <w:p w:rsidR="00B428AB" w:rsidRPr="004B6FCF" w:rsidP="003B4ED6" w14:paraId="46F37645" w14:textId="7417B1FF">
            <w:pPr>
              <w:rPr>
                <w:szCs w:val="22"/>
              </w:rPr>
            </w:pPr>
            <w:r w:rsidRPr="004B6FCF">
              <w:t>14</w:t>
            </w:r>
          </w:p>
        </w:tc>
        <w:tc>
          <w:tcPr>
            <w:tcW w:w="1151" w:type="dxa"/>
            <w:tcBorders>
              <w:left w:val="single" w:sz="4" w:space="0" w:color="auto"/>
            </w:tcBorders>
          </w:tcPr>
          <w:p w:rsidR="00B428AB" w:rsidRPr="004B6FCF" w:rsidP="003B4ED6" w14:paraId="050D1521" w14:textId="4C146DA9">
            <w:pPr>
              <w:rPr>
                <w:szCs w:val="22"/>
              </w:rPr>
            </w:pPr>
            <w:r w:rsidRPr="004B6FCF">
              <w:t>1</w:t>
            </w:r>
          </w:p>
        </w:tc>
      </w:tr>
      <w:tr w14:paraId="6CF93EC1" w14:textId="77777777" w:rsidTr="00B428AB">
        <w:tblPrEx>
          <w:tblW w:w="9072" w:type="dxa"/>
          <w:jc w:val="center"/>
          <w:tblLayout w:type="fixed"/>
          <w:tblCellMar>
            <w:left w:w="60" w:type="dxa"/>
            <w:right w:w="60" w:type="dxa"/>
          </w:tblCellMar>
          <w:tblLook w:val="0000"/>
        </w:tblPrEx>
        <w:trPr>
          <w:cantSplit/>
          <w:trHeight w:val="64"/>
          <w:jc w:val="center"/>
        </w:trPr>
        <w:tc>
          <w:tcPr>
            <w:tcW w:w="2673" w:type="dxa"/>
            <w:vMerge/>
            <w:tcBorders>
              <w:right w:val="single" w:sz="4" w:space="0" w:color="auto"/>
            </w:tcBorders>
          </w:tcPr>
          <w:p w:rsidR="007E2BC7" w:rsidRPr="004E6761" w14:paraId="47A21754" w14:textId="77777777">
            <w:pPr>
              <w:rPr>
                <w:b/>
                <w:szCs w:val="22"/>
              </w:rPr>
            </w:pPr>
          </w:p>
        </w:tc>
        <w:tc>
          <w:tcPr>
            <w:tcW w:w="2480" w:type="dxa"/>
            <w:tcBorders>
              <w:left w:val="single" w:sz="4" w:space="0" w:color="auto"/>
              <w:right w:val="single" w:sz="4" w:space="0" w:color="auto"/>
            </w:tcBorders>
          </w:tcPr>
          <w:p w:rsidR="007E2BC7" w:rsidRPr="004B6FCF" w14:paraId="3065D612" w14:textId="77777777">
            <w:pPr>
              <w:rPr>
                <w:szCs w:val="22"/>
              </w:rPr>
            </w:pPr>
            <w:r w:rsidRPr="004B6FCF">
              <w:rPr>
                <w:szCs w:val="22"/>
              </w:rPr>
              <w:t>Pancreatitis</w:t>
            </w:r>
            <w:r w:rsidRPr="004B6FCF">
              <w:rPr>
                <w:szCs w:val="22"/>
                <w:vertAlign w:val="superscript"/>
              </w:rPr>
              <w:t>a</w:t>
            </w:r>
          </w:p>
        </w:tc>
        <w:tc>
          <w:tcPr>
            <w:tcW w:w="1542" w:type="dxa"/>
            <w:tcBorders>
              <w:left w:val="single" w:sz="4" w:space="0" w:color="auto"/>
              <w:right w:val="single" w:sz="4" w:space="0" w:color="auto"/>
            </w:tcBorders>
          </w:tcPr>
          <w:p w:rsidR="007E2BC7" w:rsidRPr="004B6FCF" w14:paraId="4DD2413C" w14:textId="77777777">
            <w:pPr>
              <w:rPr>
                <w:szCs w:val="22"/>
              </w:rPr>
            </w:pPr>
            <w:r w:rsidRPr="004B6FCF">
              <w:rPr>
                <w:szCs w:val="22"/>
              </w:rPr>
              <w:t>Common</w:t>
            </w:r>
          </w:p>
        </w:tc>
        <w:tc>
          <w:tcPr>
            <w:tcW w:w="1226" w:type="dxa"/>
            <w:tcBorders>
              <w:left w:val="single" w:sz="4" w:space="0" w:color="auto"/>
              <w:right w:val="single" w:sz="4" w:space="0" w:color="auto"/>
            </w:tcBorders>
            <w:vAlign w:val="bottom"/>
          </w:tcPr>
          <w:p w:rsidR="007E2BC7" w:rsidRPr="004B6FCF" w14:paraId="161D8CB1" w14:textId="77777777">
            <w:pPr>
              <w:rPr>
                <w:szCs w:val="22"/>
              </w:rPr>
            </w:pPr>
            <w:r w:rsidRPr="004B6FCF">
              <w:rPr>
                <w:szCs w:val="22"/>
              </w:rPr>
              <w:t>1</w:t>
            </w:r>
          </w:p>
        </w:tc>
        <w:tc>
          <w:tcPr>
            <w:tcW w:w="1151" w:type="dxa"/>
            <w:tcBorders>
              <w:left w:val="single" w:sz="4" w:space="0" w:color="auto"/>
            </w:tcBorders>
            <w:vAlign w:val="bottom"/>
          </w:tcPr>
          <w:p w:rsidR="007E2BC7" w:rsidRPr="004B6FCF" w14:paraId="06AB1960" w14:textId="77777777">
            <w:pPr>
              <w:rPr>
                <w:szCs w:val="22"/>
              </w:rPr>
            </w:pPr>
            <w:r w:rsidRPr="004B6FCF">
              <w:rPr>
                <w:szCs w:val="22"/>
              </w:rPr>
              <w:t>1</w:t>
            </w:r>
          </w:p>
        </w:tc>
      </w:tr>
      <w:tr w14:paraId="16A0F2E0" w14:textId="77777777" w:rsidTr="00B428AB">
        <w:tblPrEx>
          <w:tblW w:w="9072" w:type="dxa"/>
          <w:jc w:val="center"/>
          <w:tblLayout w:type="fixed"/>
          <w:tblCellMar>
            <w:left w:w="60" w:type="dxa"/>
            <w:right w:w="60" w:type="dxa"/>
          </w:tblCellMar>
          <w:tblLook w:val="0000"/>
        </w:tblPrEx>
        <w:trPr>
          <w:cantSplit/>
          <w:jc w:val="center"/>
        </w:trPr>
        <w:tc>
          <w:tcPr>
            <w:tcW w:w="2673" w:type="dxa"/>
            <w:vMerge w:val="restart"/>
            <w:tcBorders>
              <w:right w:val="single" w:sz="4" w:space="0" w:color="auto"/>
            </w:tcBorders>
          </w:tcPr>
          <w:p w:rsidR="003B4ED6" w:rsidRPr="004E6761" w:rsidP="003B4ED6" w14:paraId="1C7915C5" w14:textId="77777777">
            <w:pPr>
              <w:rPr>
                <w:b/>
                <w:bCs/>
                <w:szCs w:val="22"/>
              </w:rPr>
            </w:pPr>
            <w:r w:rsidRPr="004E6761">
              <w:rPr>
                <w:b/>
                <w:bCs/>
              </w:rPr>
              <w:t>Skin and subcutaneous tissue disorders</w:t>
            </w:r>
          </w:p>
          <w:p w:rsidR="003B4ED6" w:rsidRPr="004E6761" w:rsidP="003B4ED6" w14:paraId="44D31268" w14:textId="6367B434">
            <w:pPr>
              <w:rPr>
                <w:b/>
                <w:szCs w:val="22"/>
              </w:rPr>
            </w:pPr>
          </w:p>
        </w:tc>
        <w:tc>
          <w:tcPr>
            <w:tcW w:w="2480" w:type="dxa"/>
            <w:tcBorders>
              <w:left w:val="single" w:sz="4" w:space="0" w:color="auto"/>
              <w:right w:val="single" w:sz="4" w:space="0" w:color="auto"/>
            </w:tcBorders>
          </w:tcPr>
          <w:p w:rsidR="003B4ED6" w:rsidRPr="004B6FCF" w:rsidP="003B4ED6" w14:paraId="7076030F" w14:textId="691E6F93">
            <w:r w:rsidRPr="004B6FCF">
              <w:t>Rash</w:t>
            </w:r>
          </w:p>
        </w:tc>
        <w:tc>
          <w:tcPr>
            <w:tcW w:w="1542" w:type="dxa"/>
            <w:tcBorders>
              <w:left w:val="single" w:sz="4" w:space="0" w:color="auto"/>
              <w:right w:val="single" w:sz="4" w:space="0" w:color="auto"/>
            </w:tcBorders>
          </w:tcPr>
          <w:p w:rsidR="003B4ED6" w:rsidRPr="004B6FCF" w:rsidP="003B4ED6" w14:paraId="7A604A23" w14:textId="4FAB4D1E">
            <w:pPr>
              <w:rPr>
                <w:szCs w:val="22"/>
              </w:rPr>
            </w:pPr>
            <w:r w:rsidRPr="004B6FCF">
              <w:t>Very common</w:t>
            </w:r>
          </w:p>
        </w:tc>
        <w:tc>
          <w:tcPr>
            <w:tcW w:w="1226" w:type="dxa"/>
            <w:tcBorders>
              <w:left w:val="single" w:sz="4" w:space="0" w:color="auto"/>
              <w:right w:val="single" w:sz="4" w:space="0" w:color="auto"/>
            </w:tcBorders>
          </w:tcPr>
          <w:p w:rsidR="003B4ED6" w:rsidRPr="004E6761" w:rsidP="003B4ED6" w14:paraId="5B090BF0" w14:textId="79BA5542">
            <w:pPr>
              <w:rPr>
                <w:szCs w:val="22"/>
              </w:rPr>
            </w:pPr>
            <w:r w:rsidRPr="004E6761">
              <w:t>13</w:t>
            </w:r>
          </w:p>
        </w:tc>
        <w:tc>
          <w:tcPr>
            <w:tcW w:w="1151" w:type="dxa"/>
            <w:tcBorders>
              <w:left w:val="single" w:sz="4" w:space="0" w:color="auto"/>
            </w:tcBorders>
          </w:tcPr>
          <w:p w:rsidR="003B4ED6" w:rsidRPr="004E6761" w:rsidP="003B4ED6" w14:paraId="051BCD55" w14:textId="7C65AB40">
            <w:pPr>
              <w:rPr>
                <w:szCs w:val="22"/>
              </w:rPr>
            </w:pPr>
            <w:r w:rsidRPr="004E6761">
              <w:t>1*</w:t>
            </w:r>
          </w:p>
        </w:tc>
      </w:tr>
      <w:tr w14:paraId="35B47A3F" w14:textId="77777777" w:rsidTr="00B428AB">
        <w:tblPrEx>
          <w:tblW w:w="9072" w:type="dxa"/>
          <w:jc w:val="center"/>
          <w:tblLayout w:type="fixed"/>
          <w:tblCellMar>
            <w:left w:w="60" w:type="dxa"/>
            <w:right w:w="60" w:type="dxa"/>
          </w:tblCellMar>
          <w:tblLook w:val="0000"/>
        </w:tblPrEx>
        <w:trPr>
          <w:cantSplit/>
          <w:jc w:val="center"/>
        </w:trPr>
        <w:tc>
          <w:tcPr>
            <w:tcW w:w="2673" w:type="dxa"/>
            <w:vMerge/>
            <w:tcBorders>
              <w:right w:val="single" w:sz="4" w:space="0" w:color="auto"/>
            </w:tcBorders>
          </w:tcPr>
          <w:p w:rsidR="003B4ED6" w:rsidRPr="004E6761" w:rsidP="003B4ED6" w14:paraId="52A54413" w14:textId="77777777">
            <w:pPr>
              <w:rPr>
                <w:b/>
                <w:szCs w:val="22"/>
              </w:rPr>
            </w:pPr>
          </w:p>
        </w:tc>
        <w:tc>
          <w:tcPr>
            <w:tcW w:w="2480" w:type="dxa"/>
            <w:tcBorders>
              <w:left w:val="single" w:sz="4" w:space="0" w:color="auto"/>
              <w:right w:val="single" w:sz="4" w:space="0" w:color="auto"/>
            </w:tcBorders>
          </w:tcPr>
          <w:p w:rsidR="003B4ED6" w:rsidRPr="004B6FCF" w:rsidP="003B4ED6" w14:paraId="293179B3" w14:textId="6C44E91A">
            <w:r w:rsidRPr="004B6FCF">
              <w:t>Pruritus</w:t>
            </w:r>
          </w:p>
        </w:tc>
        <w:tc>
          <w:tcPr>
            <w:tcW w:w="1542" w:type="dxa"/>
            <w:tcBorders>
              <w:left w:val="single" w:sz="4" w:space="0" w:color="auto"/>
              <w:right w:val="single" w:sz="4" w:space="0" w:color="auto"/>
            </w:tcBorders>
          </w:tcPr>
          <w:p w:rsidR="003B4ED6" w:rsidRPr="004B6FCF" w:rsidP="003B4ED6" w14:paraId="6A1697F9" w14:textId="2AAF6FAD">
            <w:pPr>
              <w:rPr>
                <w:szCs w:val="22"/>
              </w:rPr>
            </w:pPr>
            <w:r w:rsidRPr="004B6FCF">
              <w:t>Common</w:t>
            </w:r>
          </w:p>
        </w:tc>
        <w:tc>
          <w:tcPr>
            <w:tcW w:w="1226" w:type="dxa"/>
            <w:tcBorders>
              <w:left w:val="single" w:sz="4" w:space="0" w:color="auto"/>
              <w:right w:val="single" w:sz="4" w:space="0" w:color="auto"/>
            </w:tcBorders>
          </w:tcPr>
          <w:p w:rsidR="003B4ED6" w:rsidRPr="004E6761" w:rsidP="003B4ED6" w14:paraId="7FD12463" w14:textId="275C029C">
            <w:pPr>
              <w:rPr>
                <w:szCs w:val="22"/>
              </w:rPr>
            </w:pPr>
            <w:r w:rsidRPr="004E6761">
              <w:t>7</w:t>
            </w:r>
          </w:p>
        </w:tc>
        <w:tc>
          <w:tcPr>
            <w:tcW w:w="1151" w:type="dxa"/>
            <w:tcBorders>
              <w:left w:val="single" w:sz="4" w:space="0" w:color="auto"/>
            </w:tcBorders>
          </w:tcPr>
          <w:p w:rsidR="003B4ED6" w:rsidRPr="004E6761" w:rsidP="003B4ED6" w14:paraId="156DF09D" w14:textId="0FDCEE72">
            <w:pPr>
              <w:rPr>
                <w:szCs w:val="22"/>
              </w:rPr>
            </w:pPr>
            <w:r w:rsidRPr="004E6761">
              <w:t>&lt; 1*</w:t>
            </w:r>
          </w:p>
        </w:tc>
      </w:tr>
      <w:tr w14:paraId="0DC2A369" w14:textId="77777777" w:rsidTr="00B428AB">
        <w:tblPrEx>
          <w:tblW w:w="9072" w:type="dxa"/>
          <w:jc w:val="center"/>
          <w:tblLayout w:type="fixed"/>
          <w:tblCellMar>
            <w:left w:w="60" w:type="dxa"/>
            <w:right w:w="60" w:type="dxa"/>
          </w:tblCellMar>
          <w:tblLook w:val="0000"/>
        </w:tblPrEx>
        <w:trPr>
          <w:cantSplit/>
          <w:jc w:val="center"/>
        </w:trPr>
        <w:tc>
          <w:tcPr>
            <w:tcW w:w="2673" w:type="dxa"/>
            <w:vMerge w:val="restart"/>
            <w:tcBorders>
              <w:right w:val="single" w:sz="4" w:space="0" w:color="auto"/>
            </w:tcBorders>
          </w:tcPr>
          <w:p w:rsidR="007E2BC7" w:rsidRPr="004E6761" w14:paraId="30E96BDF" w14:textId="77777777">
            <w:pPr>
              <w:rPr>
                <w:b/>
                <w:szCs w:val="22"/>
              </w:rPr>
            </w:pPr>
            <w:r w:rsidRPr="004E6761">
              <w:rPr>
                <w:b/>
                <w:szCs w:val="22"/>
              </w:rPr>
              <w:t>Musculoskeletal and connective tissue disorders</w:t>
            </w:r>
          </w:p>
        </w:tc>
        <w:tc>
          <w:tcPr>
            <w:tcW w:w="2480" w:type="dxa"/>
            <w:tcBorders>
              <w:left w:val="single" w:sz="4" w:space="0" w:color="auto"/>
              <w:right w:val="single" w:sz="4" w:space="0" w:color="auto"/>
            </w:tcBorders>
          </w:tcPr>
          <w:p w:rsidR="007E2BC7" w:rsidRPr="004B6FCF" w14:paraId="05DC2A4C" w14:textId="1131DE4B">
            <w:r w:rsidRPr="004B6FCF">
              <w:t xml:space="preserve"> Musculoskeletal pain</w:t>
            </w:r>
            <w:r w:rsidRPr="004B6FCF">
              <w:rPr>
                <w:vertAlign w:val="superscript"/>
              </w:rPr>
              <w:t>a</w:t>
            </w:r>
            <w:r w:rsidRPr="004B6FCF" w:rsidR="00535D79">
              <w:rPr>
                <w:vertAlign w:val="superscript"/>
              </w:rPr>
              <w:t>, e</w:t>
            </w:r>
          </w:p>
        </w:tc>
        <w:tc>
          <w:tcPr>
            <w:tcW w:w="1542" w:type="dxa"/>
            <w:vMerge w:val="restart"/>
            <w:tcBorders>
              <w:left w:val="single" w:sz="4" w:space="0" w:color="auto"/>
              <w:right w:val="single" w:sz="4" w:space="0" w:color="auto"/>
            </w:tcBorders>
          </w:tcPr>
          <w:p w:rsidR="007E2BC7" w:rsidRPr="004B6FCF" w14:paraId="6A4F68BE" w14:textId="77777777">
            <w:pPr>
              <w:rPr>
                <w:szCs w:val="22"/>
              </w:rPr>
            </w:pPr>
            <w:r w:rsidRPr="004B6FCF">
              <w:rPr>
                <w:szCs w:val="22"/>
              </w:rPr>
              <w:t>Very common</w:t>
            </w:r>
          </w:p>
        </w:tc>
        <w:tc>
          <w:tcPr>
            <w:tcW w:w="1226" w:type="dxa"/>
            <w:tcBorders>
              <w:left w:val="single" w:sz="4" w:space="0" w:color="auto"/>
              <w:right w:val="single" w:sz="4" w:space="0" w:color="auto"/>
            </w:tcBorders>
          </w:tcPr>
          <w:p w:rsidR="007E2BC7" w:rsidRPr="004E6761" w14:paraId="037237A4" w14:textId="79ED6B9E">
            <w:pPr>
              <w:rPr>
                <w:szCs w:val="22"/>
              </w:rPr>
            </w:pPr>
            <w:r w:rsidRPr="004E6761">
              <w:rPr>
                <w:szCs w:val="22"/>
              </w:rPr>
              <w:t>37</w:t>
            </w:r>
          </w:p>
        </w:tc>
        <w:tc>
          <w:tcPr>
            <w:tcW w:w="1151" w:type="dxa"/>
            <w:tcBorders>
              <w:left w:val="single" w:sz="4" w:space="0" w:color="auto"/>
            </w:tcBorders>
          </w:tcPr>
          <w:p w:rsidR="007E2BC7" w:rsidRPr="004E6761" w14:paraId="4FCD304C" w14:textId="24467E37">
            <w:pPr>
              <w:rPr>
                <w:szCs w:val="22"/>
              </w:rPr>
            </w:pPr>
            <w:r w:rsidRPr="004E6761">
              <w:rPr>
                <w:szCs w:val="22"/>
              </w:rPr>
              <w:t>4</w:t>
            </w:r>
          </w:p>
        </w:tc>
      </w:tr>
      <w:tr w14:paraId="2A05330F" w14:textId="77777777" w:rsidTr="00B428AB">
        <w:tblPrEx>
          <w:tblW w:w="9072" w:type="dxa"/>
          <w:jc w:val="center"/>
          <w:tblLayout w:type="fixed"/>
          <w:tblCellMar>
            <w:left w:w="60" w:type="dxa"/>
            <w:right w:w="60" w:type="dxa"/>
          </w:tblCellMar>
          <w:tblLook w:val="0000"/>
        </w:tblPrEx>
        <w:trPr>
          <w:cantSplit/>
          <w:trHeight w:val="64"/>
          <w:jc w:val="center"/>
        </w:trPr>
        <w:tc>
          <w:tcPr>
            <w:tcW w:w="2673" w:type="dxa"/>
            <w:vMerge/>
            <w:tcBorders>
              <w:right w:val="single" w:sz="4" w:space="0" w:color="auto"/>
            </w:tcBorders>
          </w:tcPr>
          <w:p w:rsidR="003B4ED6" w:rsidRPr="004E6761" w:rsidP="003B4ED6" w14:paraId="0A744B09" w14:textId="77777777">
            <w:pPr>
              <w:rPr>
                <w:b/>
                <w:szCs w:val="22"/>
              </w:rPr>
            </w:pPr>
          </w:p>
        </w:tc>
        <w:tc>
          <w:tcPr>
            <w:tcW w:w="2480" w:type="dxa"/>
            <w:tcBorders>
              <w:left w:val="single" w:sz="4" w:space="0" w:color="auto"/>
              <w:right w:val="single" w:sz="4" w:space="0" w:color="auto"/>
            </w:tcBorders>
          </w:tcPr>
          <w:p w:rsidR="003B4ED6" w:rsidRPr="004E6761" w:rsidP="003B4ED6" w14:paraId="2A6F42AE" w14:textId="26970C7B">
            <w:r w:rsidRPr="004E6761">
              <w:t>Arthralgia</w:t>
            </w:r>
          </w:p>
        </w:tc>
        <w:tc>
          <w:tcPr>
            <w:tcW w:w="1542" w:type="dxa"/>
            <w:vMerge/>
            <w:tcBorders>
              <w:left w:val="single" w:sz="4" w:space="0" w:color="auto"/>
              <w:right w:val="single" w:sz="4" w:space="0" w:color="auto"/>
            </w:tcBorders>
          </w:tcPr>
          <w:p w:rsidR="003B4ED6" w:rsidRPr="004E6761" w:rsidP="003B4ED6" w14:paraId="095DDFB6" w14:textId="77777777">
            <w:pPr>
              <w:rPr>
                <w:szCs w:val="22"/>
              </w:rPr>
            </w:pPr>
          </w:p>
        </w:tc>
        <w:tc>
          <w:tcPr>
            <w:tcW w:w="1226" w:type="dxa"/>
            <w:tcBorders>
              <w:left w:val="single" w:sz="4" w:space="0" w:color="auto"/>
              <w:right w:val="single" w:sz="4" w:space="0" w:color="auto"/>
            </w:tcBorders>
          </w:tcPr>
          <w:p w:rsidR="003B4ED6" w:rsidRPr="004E6761" w:rsidP="003B4ED6" w14:paraId="715BFC11" w14:textId="0BC67EFD">
            <w:pPr>
              <w:rPr>
                <w:szCs w:val="22"/>
              </w:rPr>
            </w:pPr>
            <w:r w:rsidRPr="004E6761">
              <w:t>14</w:t>
            </w:r>
          </w:p>
        </w:tc>
        <w:tc>
          <w:tcPr>
            <w:tcW w:w="1151" w:type="dxa"/>
            <w:tcBorders>
              <w:left w:val="single" w:sz="4" w:space="0" w:color="auto"/>
            </w:tcBorders>
          </w:tcPr>
          <w:p w:rsidR="003B4ED6" w:rsidRPr="004E6761" w:rsidP="003B4ED6" w14:paraId="70E205CB" w14:textId="59025B25">
            <w:pPr>
              <w:rPr>
                <w:szCs w:val="22"/>
              </w:rPr>
            </w:pPr>
            <w:r w:rsidRPr="004E6761">
              <w:t>1</w:t>
            </w:r>
          </w:p>
        </w:tc>
      </w:tr>
      <w:tr w14:paraId="07F223FC" w14:textId="77777777" w:rsidTr="00B428AB">
        <w:tblPrEx>
          <w:tblW w:w="9072" w:type="dxa"/>
          <w:jc w:val="center"/>
          <w:tblLayout w:type="fixed"/>
          <w:tblCellMar>
            <w:left w:w="60" w:type="dxa"/>
            <w:right w:w="60" w:type="dxa"/>
          </w:tblCellMar>
          <w:tblLook w:val="0000"/>
        </w:tblPrEx>
        <w:trPr>
          <w:cantSplit/>
          <w:trHeight w:val="64"/>
          <w:jc w:val="center"/>
        </w:trPr>
        <w:tc>
          <w:tcPr>
            <w:tcW w:w="2673" w:type="dxa"/>
            <w:vMerge/>
            <w:tcBorders>
              <w:right w:val="single" w:sz="4" w:space="0" w:color="auto"/>
            </w:tcBorders>
          </w:tcPr>
          <w:p w:rsidR="007E2BC7" w:rsidRPr="004E6761" w14:paraId="7F03B7C6" w14:textId="77777777">
            <w:pPr>
              <w:rPr>
                <w:b/>
                <w:szCs w:val="22"/>
              </w:rPr>
            </w:pPr>
          </w:p>
        </w:tc>
        <w:tc>
          <w:tcPr>
            <w:tcW w:w="2480" w:type="dxa"/>
            <w:tcBorders>
              <w:left w:val="single" w:sz="4" w:space="0" w:color="auto"/>
              <w:right w:val="single" w:sz="4" w:space="0" w:color="auto"/>
            </w:tcBorders>
          </w:tcPr>
          <w:p w:rsidR="007E2BC7" w:rsidRPr="004E6761" w14:paraId="4CAE35D1" w14:textId="77777777">
            <w:pPr>
              <w:rPr>
                <w:szCs w:val="22"/>
              </w:rPr>
            </w:pPr>
            <w:r w:rsidRPr="004E6761">
              <w:t>Muscle spasms</w:t>
            </w:r>
          </w:p>
        </w:tc>
        <w:tc>
          <w:tcPr>
            <w:tcW w:w="1542" w:type="dxa"/>
            <w:vMerge/>
            <w:tcBorders>
              <w:left w:val="single" w:sz="4" w:space="0" w:color="auto"/>
              <w:right w:val="single" w:sz="4" w:space="0" w:color="auto"/>
            </w:tcBorders>
          </w:tcPr>
          <w:p w:rsidR="007E2BC7" w:rsidRPr="004E6761" w14:paraId="52537BC0" w14:textId="77777777">
            <w:pPr>
              <w:rPr>
                <w:szCs w:val="22"/>
              </w:rPr>
            </w:pPr>
          </w:p>
        </w:tc>
        <w:tc>
          <w:tcPr>
            <w:tcW w:w="1226" w:type="dxa"/>
            <w:tcBorders>
              <w:left w:val="single" w:sz="4" w:space="0" w:color="auto"/>
              <w:right w:val="single" w:sz="4" w:space="0" w:color="auto"/>
            </w:tcBorders>
          </w:tcPr>
          <w:p w:rsidR="007E2BC7" w:rsidRPr="004E6761" w14:paraId="67BF5302" w14:textId="77777777">
            <w:pPr>
              <w:rPr>
                <w:szCs w:val="22"/>
              </w:rPr>
            </w:pPr>
            <w:r w:rsidRPr="004E6761">
              <w:rPr>
                <w:szCs w:val="22"/>
              </w:rPr>
              <w:t>14</w:t>
            </w:r>
          </w:p>
        </w:tc>
        <w:tc>
          <w:tcPr>
            <w:tcW w:w="1151" w:type="dxa"/>
            <w:tcBorders>
              <w:left w:val="single" w:sz="4" w:space="0" w:color="auto"/>
            </w:tcBorders>
          </w:tcPr>
          <w:p w:rsidR="007E2BC7" w:rsidRPr="004E6761" w14:paraId="31E060E6" w14:textId="77777777">
            <w:pPr>
              <w:rPr>
                <w:szCs w:val="22"/>
              </w:rPr>
            </w:pPr>
            <w:r w:rsidRPr="004E6761">
              <w:rPr>
                <w:szCs w:val="22"/>
              </w:rPr>
              <w:t>&lt;1*</w:t>
            </w:r>
          </w:p>
        </w:tc>
      </w:tr>
      <w:tr w14:paraId="572B2FDE" w14:textId="77777777" w:rsidTr="00B428AB">
        <w:tblPrEx>
          <w:tblW w:w="9072" w:type="dxa"/>
          <w:jc w:val="center"/>
          <w:tblLayout w:type="fixed"/>
          <w:tblCellMar>
            <w:left w:w="60" w:type="dxa"/>
            <w:right w:w="60" w:type="dxa"/>
          </w:tblCellMar>
          <w:tblLook w:val="0000"/>
        </w:tblPrEx>
        <w:trPr>
          <w:cantSplit/>
          <w:trHeight w:val="64"/>
          <w:jc w:val="center"/>
        </w:trPr>
        <w:tc>
          <w:tcPr>
            <w:tcW w:w="2673" w:type="dxa"/>
            <w:vMerge w:val="restart"/>
            <w:tcBorders>
              <w:right w:val="single" w:sz="4" w:space="0" w:color="auto"/>
            </w:tcBorders>
          </w:tcPr>
          <w:p w:rsidR="007E2BC7" w:rsidRPr="004E6761" w14:paraId="6F5B3883" w14:textId="77777777">
            <w:pPr>
              <w:rPr>
                <w:b/>
                <w:szCs w:val="22"/>
              </w:rPr>
            </w:pPr>
            <w:r w:rsidRPr="004E6761">
              <w:rPr>
                <w:b/>
                <w:szCs w:val="22"/>
              </w:rPr>
              <w:t>General disorders and administration site conditions</w:t>
            </w:r>
          </w:p>
        </w:tc>
        <w:tc>
          <w:tcPr>
            <w:tcW w:w="2480" w:type="dxa"/>
            <w:tcBorders>
              <w:left w:val="single" w:sz="4" w:space="0" w:color="auto"/>
              <w:right w:val="single" w:sz="4" w:space="0" w:color="auto"/>
            </w:tcBorders>
          </w:tcPr>
          <w:p w:rsidR="007E2BC7" w:rsidRPr="004E6761" w14:paraId="1993DBC0" w14:textId="3F64DA86">
            <w:r w:rsidRPr="004E6761">
              <w:t>Oedema peripheral</w:t>
            </w:r>
            <w:r w:rsidRPr="004E6761">
              <w:rPr>
                <w:vertAlign w:val="superscript"/>
              </w:rPr>
              <w:t>a</w:t>
            </w:r>
          </w:p>
        </w:tc>
        <w:tc>
          <w:tcPr>
            <w:tcW w:w="1542" w:type="dxa"/>
            <w:vMerge w:val="restart"/>
            <w:tcBorders>
              <w:left w:val="single" w:sz="4" w:space="0" w:color="auto"/>
              <w:right w:val="single" w:sz="4" w:space="0" w:color="auto"/>
            </w:tcBorders>
          </w:tcPr>
          <w:p w:rsidR="007E2BC7" w:rsidRPr="004E6761" w14:paraId="5862066D" w14:textId="77777777">
            <w:pPr>
              <w:rPr>
                <w:szCs w:val="22"/>
              </w:rPr>
            </w:pPr>
            <w:r w:rsidRPr="004E6761">
              <w:rPr>
                <w:szCs w:val="22"/>
              </w:rPr>
              <w:t>Very common</w:t>
            </w:r>
          </w:p>
        </w:tc>
        <w:tc>
          <w:tcPr>
            <w:tcW w:w="1226" w:type="dxa"/>
            <w:tcBorders>
              <w:left w:val="single" w:sz="4" w:space="0" w:color="auto"/>
              <w:right w:val="single" w:sz="4" w:space="0" w:color="auto"/>
            </w:tcBorders>
            <w:vAlign w:val="bottom"/>
          </w:tcPr>
          <w:p w:rsidR="007E2BC7" w:rsidRPr="004E6761" w14:paraId="439D6DD9" w14:textId="1B2018A7">
            <w:pPr>
              <w:rPr>
                <w:szCs w:val="22"/>
              </w:rPr>
            </w:pPr>
            <w:r w:rsidRPr="004E6761">
              <w:rPr>
                <w:szCs w:val="22"/>
              </w:rPr>
              <w:t>27</w:t>
            </w:r>
          </w:p>
        </w:tc>
        <w:tc>
          <w:tcPr>
            <w:tcW w:w="1151" w:type="dxa"/>
            <w:tcBorders>
              <w:left w:val="single" w:sz="4" w:space="0" w:color="auto"/>
            </w:tcBorders>
            <w:vAlign w:val="bottom"/>
          </w:tcPr>
          <w:p w:rsidR="007E2BC7" w:rsidRPr="004E6761" w14:paraId="098BE70A" w14:textId="395E8D91">
            <w:pPr>
              <w:rPr>
                <w:szCs w:val="22"/>
              </w:rPr>
            </w:pPr>
            <w:r w:rsidRPr="004E6761">
              <w:rPr>
                <w:szCs w:val="22"/>
              </w:rPr>
              <w:t>1</w:t>
            </w:r>
          </w:p>
        </w:tc>
      </w:tr>
      <w:tr w14:paraId="1E419D97" w14:textId="77777777" w:rsidTr="00B428AB">
        <w:tblPrEx>
          <w:tblW w:w="9072" w:type="dxa"/>
          <w:jc w:val="center"/>
          <w:tblLayout w:type="fixed"/>
          <w:tblCellMar>
            <w:left w:w="60" w:type="dxa"/>
            <w:right w:w="60" w:type="dxa"/>
          </w:tblCellMar>
          <w:tblLook w:val="0000"/>
        </w:tblPrEx>
        <w:trPr>
          <w:cantSplit/>
          <w:trHeight w:val="64"/>
          <w:jc w:val="center"/>
        </w:trPr>
        <w:tc>
          <w:tcPr>
            <w:tcW w:w="2673" w:type="dxa"/>
            <w:vMerge/>
            <w:tcBorders>
              <w:right w:val="single" w:sz="4" w:space="0" w:color="auto"/>
            </w:tcBorders>
          </w:tcPr>
          <w:p w:rsidR="007E2BC7" w:rsidRPr="004E6761" w14:paraId="2ED82B32" w14:textId="77777777">
            <w:pPr>
              <w:rPr>
                <w:b/>
                <w:szCs w:val="22"/>
              </w:rPr>
            </w:pPr>
          </w:p>
        </w:tc>
        <w:tc>
          <w:tcPr>
            <w:tcW w:w="2480" w:type="dxa"/>
            <w:tcBorders>
              <w:left w:val="single" w:sz="4" w:space="0" w:color="auto"/>
              <w:right w:val="single" w:sz="4" w:space="0" w:color="auto"/>
            </w:tcBorders>
          </w:tcPr>
          <w:p w:rsidR="007E2BC7" w:rsidRPr="004E6761" w14:paraId="35FDE4F2" w14:textId="2687E0E9">
            <w:r w:rsidRPr="004E6761">
              <w:rPr>
                <w:vertAlign w:val="superscript"/>
              </w:rPr>
              <w:t xml:space="preserve"> </w:t>
            </w:r>
            <w:r w:rsidRPr="004E6761">
              <w:rPr>
                <w:szCs w:val="22"/>
              </w:rPr>
              <w:t>Fatigue</w:t>
            </w:r>
          </w:p>
        </w:tc>
        <w:tc>
          <w:tcPr>
            <w:tcW w:w="1542" w:type="dxa"/>
            <w:vMerge/>
            <w:tcBorders>
              <w:left w:val="single" w:sz="4" w:space="0" w:color="auto"/>
              <w:right w:val="single" w:sz="4" w:space="0" w:color="auto"/>
            </w:tcBorders>
          </w:tcPr>
          <w:p w:rsidR="007E2BC7" w:rsidRPr="004E6761" w14:paraId="6844F233" w14:textId="77777777">
            <w:pPr>
              <w:rPr>
                <w:szCs w:val="22"/>
              </w:rPr>
            </w:pPr>
          </w:p>
        </w:tc>
        <w:tc>
          <w:tcPr>
            <w:tcW w:w="1226" w:type="dxa"/>
            <w:tcBorders>
              <w:left w:val="single" w:sz="4" w:space="0" w:color="auto"/>
              <w:right w:val="single" w:sz="4" w:space="0" w:color="auto"/>
            </w:tcBorders>
            <w:vAlign w:val="bottom"/>
          </w:tcPr>
          <w:p w:rsidR="007E2BC7" w:rsidRPr="004E6761" w14:paraId="380C8A03" w14:textId="77777777">
            <w:pPr>
              <w:rPr>
                <w:szCs w:val="22"/>
              </w:rPr>
            </w:pPr>
            <w:r w:rsidRPr="004E6761">
              <w:rPr>
                <w:szCs w:val="22"/>
              </w:rPr>
              <w:t>26</w:t>
            </w:r>
          </w:p>
        </w:tc>
        <w:tc>
          <w:tcPr>
            <w:tcW w:w="1151" w:type="dxa"/>
            <w:tcBorders>
              <w:left w:val="single" w:sz="4" w:space="0" w:color="auto"/>
            </w:tcBorders>
            <w:vAlign w:val="bottom"/>
          </w:tcPr>
          <w:p w:rsidR="007E2BC7" w:rsidRPr="004E6761" w14:paraId="541755C1" w14:textId="45CC089C">
            <w:pPr>
              <w:rPr>
                <w:szCs w:val="22"/>
              </w:rPr>
            </w:pPr>
            <w:r w:rsidRPr="004E6761">
              <w:rPr>
                <w:szCs w:val="22"/>
              </w:rPr>
              <w:t>4</w:t>
            </w:r>
          </w:p>
        </w:tc>
      </w:tr>
      <w:tr w14:paraId="0B84C2C5" w14:textId="77777777" w:rsidTr="00B428AB">
        <w:tblPrEx>
          <w:tblW w:w="9072" w:type="dxa"/>
          <w:jc w:val="center"/>
          <w:tblLayout w:type="fixed"/>
          <w:tblCellMar>
            <w:left w:w="60" w:type="dxa"/>
            <w:right w:w="60" w:type="dxa"/>
          </w:tblCellMar>
          <w:tblLook w:val="0000"/>
        </w:tblPrEx>
        <w:trPr>
          <w:cantSplit/>
          <w:trHeight w:val="64"/>
          <w:jc w:val="center"/>
        </w:trPr>
        <w:tc>
          <w:tcPr>
            <w:tcW w:w="2673" w:type="dxa"/>
            <w:vMerge/>
            <w:tcBorders>
              <w:right w:val="single" w:sz="4" w:space="0" w:color="auto"/>
            </w:tcBorders>
          </w:tcPr>
          <w:p w:rsidR="007E2BC7" w:rsidRPr="004E6761" w14:paraId="5647607A" w14:textId="77777777">
            <w:pPr>
              <w:rPr>
                <w:b/>
                <w:szCs w:val="22"/>
              </w:rPr>
            </w:pPr>
          </w:p>
        </w:tc>
        <w:tc>
          <w:tcPr>
            <w:tcW w:w="2480" w:type="dxa"/>
            <w:tcBorders>
              <w:left w:val="single" w:sz="4" w:space="0" w:color="auto"/>
              <w:right w:val="single" w:sz="4" w:space="0" w:color="auto"/>
            </w:tcBorders>
          </w:tcPr>
          <w:p w:rsidR="007E2BC7" w:rsidRPr="004E6761" w14:paraId="0B4D121F" w14:textId="77777777">
            <w:r w:rsidRPr="004E6761">
              <w:t>Pyrexia</w:t>
            </w:r>
          </w:p>
        </w:tc>
        <w:tc>
          <w:tcPr>
            <w:tcW w:w="1542" w:type="dxa"/>
            <w:vMerge/>
            <w:tcBorders>
              <w:left w:val="single" w:sz="4" w:space="0" w:color="auto"/>
              <w:right w:val="single" w:sz="4" w:space="0" w:color="auto"/>
            </w:tcBorders>
          </w:tcPr>
          <w:p w:rsidR="007E2BC7" w:rsidRPr="004E6761" w14:paraId="26BCF506" w14:textId="77777777">
            <w:pPr>
              <w:rPr>
                <w:szCs w:val="22"/>
              </w:rPr>
            </w:pPr>
          </w:p>
        </w:tc>
        <w:tc>
          <w:tcPr>
            <w:tcW w:w="1226" w:type="dxa"/>
            <w:tcBorders>
              <w:left w:val="single" w:sz="4" w:space="0" w:color="auto"/>
              <w:right w:val="single" w:sz="4" w:space="0" w:color="auto"/>
            </w:tcBorders>
            <w:vAlign w:val="bottom"/>
          </w:tcPr>
          <w:p w:rsidR="007E2BC7" w:rsidRPr="004E6761" w14:paraId="3A109EC7" w14:textId="77777777">
            <w:pPr>
              <w:rPr>
                <w:szCs w:val="22"/>
              </w:rPr>
            </w:pPr>
            <w:r w:rsidRPr="004E6761">
              <w:rPr>
                <w:szCs w:val="22"/>
              </w:rPr>
              <w:t>23</w:t>
            </w:r>
          </w:p>
        </w:tc>
        <w:tc>
          <w:tcPr>
            <w:tcW w:w="1151" w:type="dxa"/>
            <w:tcBorders>
              <w:left w:val="single" w:sz="4" w:space="0" w:color="auto"/>
            </w:tcBorders>
            <w:vAlign w:val="bottom"/>
          </w:tcPr>
          <w:p w:rsidR="007E2BC7" w:rsidRPr="004E6761" w14:paraId="2AA80997" w14:textId="77777777">
            <w:pPr>
              <w:rPr>
                <w:szCs w:val="22"/>
              </w:rPr>
            </w:pPr>
            <w:r w:rsidRPr="004E6761">
              <w:rPr>
                <w:szCs w:val="22"/>
              </w:rPr>
              <w:t>2</w:t>
            </w:r>
          </w:p>
        </w:tc>
      </w:tr>
      <w:tr w14:paraId="53EFC771" w14:textId="77777777" w:rsidTr="00B428AB">
        <w:tblPrEx>
          <w:tblW w:w="9072" w:type="dxa"/>
          <w:jc w:val="center"/>
          <w:tblLayout w:type="fixed"/>
          <w:tblCellMar>
            <w:left w:w="60" w:type="dxa"/>
            <w:right w:w="60" w:type="dxa"/>
          </w:tblCellMar>
          <w:tblLook w:val="0000"/>
        </w:tblPrEx>
        <w:trPr>
          <w:cantSplit/>
          <w:trHeight w:val="64"/>
          <w:jc w:val="center"/>
        </w:trPr>
        <w:tc>
          <w:tcPr>
            <w:tcW w:w="2673" w:type="dxa"/>
            <w:vMerge/>
            <w:tcBorders>
              <w:right w:val="single" w:sz="4" w:space="0" w:color="auto"/>
            </w:tcBorders>
          </w:tcPr>
          <w:p w:rsidR="007E2BC7" w:rsidRPr="004E6761" w14:paraId="7F30BC08" w14:textId="77777777">
            <w:pPr>
              <w:rPr>
                <w:b/>
                <w:szCs w:val="22"/>
              </w:rPr>
            </w:pPr>
          </w:p>
        </w:tc>
        <w:tc>
          <w:tcPr>
            <w:tcW w:w="2480" w:type="dxa"/>
            <w:tcBorders>
              <w:left w:val="single" w:sz="4" w:space="0" w:color="auto"/>
              <w:right w:val="single" w:sz="4" w:space="0" w:color="auto"/>
            </w:tcBorders>
          </w:tcPr>
          <w:p w:rsidR="007E2BC7" w:rsidRPr="004E6761" w14:paraId="0BAA6F27" w14:textId="77777777">
            <w:r w:rsidRPr="004E6761">
              <w:t>Asthenia</w:t>
            </w:r>
          </w:p>
        </w:tc>
        <w:tc>
          <w:tcPr>
            <w:tcW w:w="1542" w:type="dxa"/>
            <w:vMerge/>
            <w:tcBorders>
              <w:left w:val="single" w:sz="4" w:space="0" w:color="auto"/>
              <w:right w:val="single" w:sz="4" w:space="0" w:color="auto"/>
            </w:tcBorders>
          </w:tcPr>
          <w:p w:rsidR="007E2BC7" w:rsidRPr="004E6761" w14:paraId="2476E28B" w14:textId="77777777">
            <w:pPr>
              <w:rPr>
                <w:szCs w:val="22"/>
              </w:rPr>
            </w:pPr>
          </w:p>
        </w:tc>
        <w:tc>
          <w:tcPr>
            <w:tcW w:w="1226" w:type="dxa"/>
            <w:tcBorders>
              <w:left w:val="single" w:sz="4" w:space="0" w:color="auto"/>
              <w:right w:val="single" w:sz="4" w:space="0" w:color="auto"/>
            </w:tcBorders>
            <w:vAlign w:val="bottom"/>
          </w:tcPr>
          <w:p w:rsidR="007E2BC7" w:rsidRPr="004E6761" w14:paraId="7FDDAAE2" w14:textId="77777777">
            <w:pPr>
              <w:rPr>
                <w:szCs w:val="22"/>
              </w:rPr>
            </w:pPr>
            <w:r w:rsidRPr="004E6761">
              <w:rPr>
                <w:szCs w:val="22"/>
              </w:rPr>
              <w:t>21</w:t>
            </w:r>
          </w:p>
        </w:tc>
        <w:tc>
          <w:tcPr>
            <w:tcW w:w="1151" w:type="dxa"/>
            <w:tcBorders>
              <w:left w:val="single" w:sz="4" w:space="0" w:color="auto"/>
            </w:tcBorders>
            <w:vAlign w:val="bottom"/>
          </w:tcPr>
          <w:p w:rsidR="007E2BC7" w:rsidRPr="004E6761" w14:paraId="75F1AFBC" w14:textId="77777777">
            <w:pPr>
              <w:rPr>
                <w:szCs w:val="22"/>
              </w:rPr>
            </w:pPr>
            <w:r w:rsidRPr="004E6761">
              <w:rPr>
                <w:szCs w:val="22"/>
              </w:rPr>
              <w:t>2</w:t>
            </w:r>
          </w:p>
        </w:tc>
      </w:tr>
      <w:tr w14:paraId="66528F06" w14:textId="77777777" w:rsidTr="00B428AB">
        <w:tblPrEx>
          <w:tblW w:w="9072" w:type="dxa"/>
          <w:jc w:val="center"/>
          <w:tblLayout w:type="fixed"/>
          <w:tblCellMar>
            <w:left w:w="60" w:type="dxa"/>
            <w:right w:w="60" w:type="dxa"/>
          </w:tblCellMar>
          <w:tblLook w:val="0000"/>
        </w:tblPrEx>
        <w:trPr>
          <w:cantSplit/>
          <w:trHeight w:val="64"/>
          <w:jc w:val="center"/>
        </w:trPr>
        <w:tc>
          <w:tcPr>
            <w:tcW w:w="2673" w:type="dxa"/>
            <w:vMerge/>
            <w:tcBorders>
              <w:right w:val="single" w:sz="4" w:space="0" w:color="auto"/>
            </w:tcBorders>
          </w:tcPr>
          <w:p w:rsidR="007E2BC7" w:rsidRPr="004E6761" w14:paraId="30C3158A" w14:textId="77777777">
            <w:pPr>
              <w:rPr>
                <w:b/>
                <w:szCs w:val="22"/>
              </w:rPr>
            </w:pPr>
          </w:p>
        </w:tc>
        <w:tc>
          <w:tcPr>
            <w:tcW w:w="2480" w:type="dxa"/>
            <w:tcBorders>
              <w:left w:val="single" w:sz="4" w:space="0" w:color="auto"/>
              <w:right w:val="single" w:sz="4" w:space="0" w:color="auto"/>
            </w:tcBorders>
          </w:tcPr>
          <w:p w:rsidR="007E2BC7" w:rsidRPr="004E6761" w14:paraId="471E20A8" w14:textId="77777777">
            <w:r w:rsidRPr="004E6761">
              <w:t>Chills</w:t>
            </w:r>
          </w:p>
        </w:tc>
        <w:tc>
          <w:tcPr>
            <w:tcW w:w="1542" w:type="dxa"/>
            <w:tcBorders>
              <w:left w:val="single" w:sz="4" w:space="0" w:color="auto"/>
              <w:right w:val="single" w:sz="4" w:space="0" w:color="auto"/>
            </w:tcBorders>
          </w:tcPr>
          <w:p w:rsidR="007E2BC7" w:rsidRPr="004E6761" w14:paraId="69D7987B" w14:textId="77777777">
            <w:pPr>
              <w:rPr>
                <w:szCs w:val="22"/>
              </w:rPr>
            </w:pPr>
            <w:r w:rsidRPr="004E6761">
              <w:rPr>
                <w:szCs w:val="22"/>
              </w:rPr>
              <w:t>Common</w:t>
            </w:r>
          </w:p>
        </w:tc>
        <w:tc>
          <w:tcPr>
            <w:tcW w:w="1226" w:type="dxa"/>
            <w:tcBorders>
              <w:left w:val="single" w:sz="4" w:space="0" w:color="auto"/>
              <w:right w:val="single" w:sz="4" w:space="0" w:color="auto"/>
            </w:tcBorders>
            <w:vAlign w:val="bottom"/>
          </w:tcPr>
          <w:p w:rsidR="007E2BC7" w:rsidRPr="004E6761" w14:paraId="0F01A384" w14:textId="77777777">
            <w:pPr>
              <w:rPr>
                <w:szCs w:val="22"/>
              </w:rPr>
            </w:pPr>
            <w:r w:rsidRPr="004E6761">
              <w:rPr>
                <w:szCs w:val="22"/>
              </w:rPr>
              <w:t>9</w:t>
            </w:r>
          </w:p>
        </w:tc>
        <w:tc>
          <w:tcPr>
            <w:tcW w:w="1151" w:type="dxa"/>
            <w:tcBorders>
              <w:left w:val="single" w:sz="4" w:space="0" w:color="auto"/>
            </w:tcBorders>
            <w:vAlign w:val="bottom"/>
          </w:tcPr>
          <w:p w:rsidR="007E2BC7" w:rsidRPr="004E6761" w14:paraId="4CEAC9F5" w14:textId="77777777">
            <w:pPr>
              <w:rPr>
                <w:szCs w:val="22"/>
              </w:rPr>
            </w:pPr>
            <w:r w:rsidRPr="004E6761">
              <w:rPr>
                <w:szCs w:val="22"/>
              </w:rPr>
              <w:t>&lt;1*</w:t>
            </w:r>
          </w:p>
        </w:tc>
      </w:tr>
      <w:tr w14:paraId="6AC1462C" w14:textId="77777777" w:rsidTr="00B428AB">
        <w:tblPrEx>
          <w:tblW w:w="9072" w:type="dxa"/>
          <w:jc w:val="center"/>
          <w:tblLayout w:type="fixed"/>
          <w:tblCellMar>
            <w:left w:w="60" w:type="dxa"/>
            <w:right w:w="60" w:type="dxa"/>
          </w:tblCellMar>
          <w:tblLook w:val="0000"/>
        </w:tblPrEx>
        <w:trPr>
          <w:cantSplit/>
          <w:jc w:val="center"/>
        </w:trPr>
        <w:tc>
          <w:tcPr>
            <w:tcW w:w="2673" w:type="dxa"/>
            <w:tcBorders>
              <w:right w:val="single" w:sz="4" w:space="0" w:color="auto"/>
            </w:tcBorders>
          </w:tcPr>
          <w:p w:rsidR="007E2BC7" w:rsidRPr="004E6761" w14:paraId="0845BCEA" w14:textId="77777777">
            <w:pPr>
              <w:rPr>
                <w:b/>
                <w:szCs w:val="22"/>
              </w:rPr>
            </w:pPr>
            <w:r w:rsidRPr="004E6761">
              <w:rPr>
                <w:b/>
                <w:szCs w:val="22"/>
              </w:rPr>
              <w:t>Injury, poisoning and procedural complications</w:t>
            </w:r>
          </w:p>
        </w:tc>
        <w:tc>
          <w:tcPr>
            <w:tcW w:w="2480" w:type="dxa"/>
            <w:tcBorders>
              <w:left w:val="single" w:sz="4" w:space="0" w:color="auto"/>
              <w:right w:val="single" w:sz="4" w:space="0" w:color="auto"/>
            </w:tcBorders>
          </w:tcPr>
          <w:p w:rsidR="007E2BC7" w:rsidRPr="004E6761" w14:paraId="766D076A" w14:textId="77777777">
            <w:pPr>
              <w:rPr>
                <w:szCs w:val="22"/>
              </w:rPr>
            </w:pPr>
            <w:r w:rsidRPr="004E6761">
              <w:rPr>
                <w:szCs w:val="22"/>
              </w:rPr>
              <w:t>Infusion</w:t>
            </w:r>
            <w:r w:rsidRPr="004E6761">
              <w:rPr>
                <w:szCs w:val="22"/>
              </w:rPr>
              <w:noBreakHyphen/>
              <w:t>related reaction</w:t>
            </w:r>
            <w:r w:rsidRPr="004E6761">
              <w:rPr>
                <w:szCs w:val="22"/>
                <w:vertAlign w:val="superscript"/>
              </w:rPr>
              <w:t>c</w:t>
            </w:r>
          </w:p>
        </w:tc>
        <w:tc>
          <w:tcPr>
            <w:tcW w:w="1542" w:type="dxa"/>
            <w:tcBorders>
              <w:left w:val="single" w:sz="4" w:space="0" w:color="auto"/>
              <w:right w:val="single" w:sz="4" w:space="0" w:color="auto"/>
            </w:tcBorders>
          </w:tcPr>
          <w:p w:rsidR="007E2BC7" w:rsidRPr="004E6761" w14:paraId="4FC2665E" w14:textId="77777777">
            <w:pPr>
              <w:rPr>
                <w:szCs w:val="22"/>
              </w:rPr>
            </w:pPr>
            <w:r w:rsidRPr="004E6761">
              <w:rPr>
                <w:szCs w:val="22"/>
              </w:rPr>
              <w:t>Very common</w:t>
            </w:r>
          </w:p>
        </w:tc>
        <w:tc>
          <w:tcPr>
            <w:tcW w:w="1226" w:type="dxa"/>
            <w:tcBorders>
              <w:left w:val="single" w:sz="4" w:space="0" w:color="auto"/>
              <w:right w:val="single" w:sz="4" w:space="0" w:color="auto"/>
            </w:tcBorders>
          </w:tcPr>
          <w:p w:rsidR="007E2BC7" w:rsidRPr="004E6761" w14:paraId="6FDDFD89" w14:textId="77777777">
            <w:pPr>
              <w:rPr>
                <w:szCs w:val="22"/>
              </w:rPr>
            </w:pPr>
            <w:r w:rsidRPr="004E6761">
              <w:rPr>
                <w:szCs w:val="22"/>
              </w:rPr>
              <w:t>40</w:t>
            </w:r>
          </w:p>
        </w:tc>
        <w:tc>
          <w:tcPr>
            <w:tcW w:w="1151" w:type="dxa"/>
            <w:tcBorders>
              <w:left w:val="single" w:sz="4" w:space="0" w:color="auto"/>
            </w:tcBorders>
          </w:tcPr>
          <w:p w:rsidR="007E2BC7" w:rsidRPr="004E6761" w14:paraId="3254655C" w14:textId="77777777">
            <w:pPr>
              <w:rPr>
                <w:szCs w:val="22"/>
              </w:rPr>
            </w:pPr>
            <w:r w:rsidRPr="004E6761">
              <w:rPr>
                <w:szCs w:val="22"/>
              </w:rPr>
              <w:t>4</w:t>
            </w:r>
          </w:p>
        </w:tc>
      </w:tr>
      <w:tr w14:paraId="49A9089F" w14:textId="77777777" w:rsidTr="00B428AB">
        <w:tblPrEx>
          <w:tblW w:w="9072" w:type="dxa"/>
          <w:jc w:val="center"/>
          <w:tblLayout w:type="fixed"/>
          <w:tblCellMar>
            <w:left w:w="60" w:type="dxa"/>
            <w:right w:w="60" w:type="dxa"/>
          </w:tblCellMar>
          <w:tblLook w:val="0000"/>
        </w:tblPrEx>
        <w:trPr>
          <w:cantSplit/>
          <w:jc w:val="center"/>
        </w:trPr>
        <w:tc>
          <w:tcPr>
            <w:tcW w:w="9072" w:type="dxa"/>
            <w:gridSpan w:val="5"/>
            <w:tcBorders>
              <w:left w:val="nil"/>
              <w:bottom w:val="nil"/>
              <w:right w:val="nil"/>
            </w:tcBorders>
          </w:tcPr>
          <w:p w:rsidR="007E2BC7" w:rsidRPr="004B6FCF" w14:paraId="13ADF854" w14:textId="77777777">
            <w:pPr>
              <w:tabs>
                <w:tab w:val="left" w:pos="284"/>
                <w:tab w:val="clear" w:pos="567"/>
              </w:tabs>
              <w:ind w:left="284" w:hanging="284"/>
              <w:rPr>
                <w:sz w:val="18"/>
                <w:szCs w:val="18"/>
              </w:rPr>
            </w:pPr>
            <w:r w:rsidRPr="004B6FCF">
              <w:rPr>
                <w:szCs w:val="22"/>
              </w:rPr>
              <w:t>*</w:t>
            </w:r>
            <w:r w:rsidRPr="004B6FCF">
              <w:rPr>
                <w:szCs w:val="22"/>
              </w:rPr>
              <w:tab/>
            </w:r>
            <w:r w:rsidRPr="004B6FCF">
              <w:rPr>
                <w:sz w:val="18"/>
                <w:szCs w:val="18"/>
              </w:rPr>
              <w:t>No grade 4</w:t>
            </w:r>
          </w:p>
          <w:p w:rsidR="007E2BC7" w:rsidRPr="004B6FCF" w14:paraId="141C690A" w14:textId="77777777">
            <w:pPr>
              <w:tabs>
                <w:tab w:val="left" w:pos="284"/>
                <w:tab w:val="clear" w:pos="567"/>
              </w:tabs>
              <w:ind w:left="284" w:hanging="284"/>
              <w:rPr>
                <w:sz w:val="18"/>
                <w:szCs w:val="18"/>
              </w:rPr>
            </w:pPr>
            <w:r w:rsidRPr="004B6FCF">
              <w:rPr>
                <w:szCs w:val="22"/>
                <w:vertAlign w:val="superscript"/>
              </w:rPr>
              <w:t>a</w:t>
            </w:r>
            <w:r w:rsidRPr="004B6FCF">
              <w:rPr>
                <w:szCs w:val="22"/>
              </w:rPr>
              <w:tab/>
            </w:r>
            <w:r w:rsidRPr="004B6FCF">
              <w:rPr>
                <w:sz w:val="18"/>
                <w:szCs w:val="18"/>
              </w:rPr>
              <w:t>Indicates grouping of terms</w:t>
            </w:r>
          </w:p>
          <w:p w:rsidR="007E2BC7" w:rsidRPr="004B6FCF" w14:paraId="20F652CA" w14:textId="77777777">
            <w:pPr>
              <w:tabs>
                <w:tab w:val="left" w:pos="284"/>
                <w:tab w:val="clear" w:pos="567"/>
              </w:tabs>
              <w:ind w:left="284" w:hanging="284"/>
              <w:rPr>
                <w:szCs w:val="22"/>
                <w:vertAlign w:val="superscript"/>
              </w:rPr>
            </w:pPr>
            <w:r w:rsidRPr="004B6FCF">
              <w:rPr>
                <w:szCs w:val="22"/>
                <w:vertAlign w:val="superscript"/>
              </w:rPr>
              <w:t>b</w:t>
            </w:r>
            <w:r w:rsidRPr="004B6FCF">
              <w:rPr>
                <w:szCs w:val="22"/>
              </w:rPr>
              <w:tab/>
            </w:r>
            <w:r w:rsidRPr="004B6FCF">
              <w:rPr>
                <w:sz w:val="18"/>
                <w:szCs w:val="18"/>
              </w:rPr>
              <w:t>Post</w:t>
            </w:r>
            <w:r w:rsidRPr="004B6FCF">
              <w:rPr>
                <w:sz w:val="18"/>
                <w:szCs w:val="18"/>
              </w:rPr>
              <w:noBreakHyphen/>
              <w:t>marketing adverse reaction</w:t>
            </w:r>
          </w:p>
          <w:p w:rsidR="007E2BC7" w:rsidRPr="004B6FCF" w14:paraId="78FD9E1A" w14:textId="77777777">
            <w:pPr>
              <w:tabs>
                <w:tab w:val="left" w:pos="284"/>
                <w:tab w:val="clear" w:pos="567"/>
              </w:tabs>
              <w:rPr>
                <w:sz w:val="18"/>
              </w:rPr>
            </w:pPr>
            <w:r w:rsidRPr="004B6FCF">
              <w:rPr>
                <w:szCs w:val="22"/>
                <w:vertAlign w:val="superscript"/>
              </w:rPr>
              <w:t>c</w:t>
            </w:r>
            <w:r w:rsidRPr="004B6FCF">
              <w:rPr>
                <w:szCs w:val="22"/>
              </w:rPr>
              <w:tab/>
            </w:r>
            <w:r w:rsidRPr="004B6FCF">
              <w:rPr>
                <w:sz w:val="18"/>
              </w:rPr>
              <w:t>Infusion-related reaction includes terms determined by investigators to be related to infusion, see below</w:t>
            </w:r>
          </w:p>
          <w:p w:rsidR="00724261" w:rsidRPr="004B6FCF" w14:paraId="48C51282" w14:textId="0394D942">
            <w:pPr>
              <w:tabs>
                <w:tab w:val="left" w:pos="284"/>
                <w:tab w:val="clear" w:pos="567"/>
              </w:tabs>
              <w:rPr>
                <w:sz w:val="18"/>
              </w:rPr>
            </w:pPr>
            <w:r w:rsidRPr="004B6FCF">
              <w:rPr>
                <w:szCs w:val="22"/>
                <w:vertAlign w:val="superscript"/>
              </w:rPr>
              <w:t>d</w:t>
            </w:r>
            <w:r w:rsidRPr="004B6FCF">
              <w:rPr>
                <w:szCs w:val="22"/>
                <w:vertAlign w:val="superscript"/>
              </w:rPr>
              <w:tab/>
            </w:r>
            <w:r w:rsidRPr="004B6FCF">
              <w:rPr>
                <w:sz w:val="18"/>
              </w:rPr>
              <w:t>Incidence is based on a subset of patients who received at least one dose of study treatment on or after 01 February 2020 (the start of the COVID-19 pandemic) from studies MMY3003, MMY3006, MMY3008 and MMY3013</w:t>
            </w:r>
            <w:r w:rsidRPr="004B6FCF" w:rsidR="003B4ED6">
              <w:rPr>
                <w:sz w:val="18"/>
                <w:szCs w:val="18"/>
              </w:rPr>
              <w:t xml:space="preserve">, and all daratumumab treated patients from studies MMY3014 </w:t>
            </w:r>
            <w:r w:rsidRPr="004B6FCF" w:rsidR="00535D79">
              <w:rPr>
                <w:sz w:val="18"/>
                <w:szCs w:val="18"/>
              </w:rPr>
              <w:t xml:space="preserve">, </w:t>
            </w:r>
            <w:r w:rsidRPr="004B6FCF" w:rsidR="003B4ED6">
              <w:rPr>
                <w:sz w:val="18"/>
                <w:szCs w:val="18"/>
              </w:rPr>
              <w:t>MMY3019</w:t>
            </w:r>
            <w:r w:rsidRPr="004B6FCF" w:rsidR="00535D79">
              <w:rPr>
                <w:sz w:val="18"/>
                <w:szCs w:val="18"/>
              </w:rPr>
              <w:t>, and SMM3001</w:t>
            </w:r>
            <w:r w:rsidRPr="004B6FCF" w:rsidR="003B4ED6">
              <w:rPr>
                <w:sz w:val="18"/>
                <w:szCs w:val="18"/>
              </w:rPr>
              <w:t xml:space="preserve"> (N=</w:t>
            </w:r>
            <w:r w:rsidRPr="004B6FCF" w:rsidR="00535D79">
              <w:rPr>
                <w:sz w:val="18"/>
                <w:szCs w:val="18"/>
              </w:rPr>
              <w:t>1177</w:t>
            </w:r>
            <w:r w:rsidRPr="004B6FCF" w:rsidR="003B4ED6">
              <w:rPr>
                <w:sz w:val="18"/>
                <w:szCs w:val="18"/>
              </w:rPr>
              <w:t>)</w:t>
            </w:r>
            <w:r w:rsidRPr="004B6FCF">
              <w:rPr>
                <w:sz w:val="18"/>
              </w:rPr>
              <w:t>.</w:t>
            </w:r>
          </w:p>
          <w:p w:rsidR="00535D79" w:rsidRPr="004B6FCF" w14:paraId="24D2E507" w14:textId="40FFC10F">
            <w:pPr>
              <w:tabs>
                <w:tab w:val="left" w:pos="284"/>
                <w:tab w:val="clear" w:pos="567"/>
              </w:tabs>
              <w:rPr>
                <w:szCs w:val="22"/>
              </w:rPr>
            </w:pPr>
            <w:r w:rsidRPr="004B6FCF">
              <w:rPr>
                <w:szCs w:val="22"/>
                <w:vertAlign w:val="superscript"/>
              </w:rPr>
              <w:t>e</w:t>
            </w:r>
            <w:r w:rsidRPr="004B6FCF">
              <w:rPr>
                <w:szCs w:val="22"/>
              </w:rPr>
              <w:tab/>
            </w:r>
            <w:r w:rsidRPr="004B6FCF">
              <w:rPr>
                <w:sz w:val="18"/>
                <w:szCs w:val="18"/>
              </w:rPr>
              <w:t>Musculoskeletal pain includes back pain, flank pain, groin pain, musculoskeletal chest pain, musculoskeletal pain, musculoskeletal stiffness, myalgia, neck pain, non-cardiac chest pain, and pain in extremity.</w:t>
            </w:r>
          </w:p>
        </w:tc>
      </w:tr>
      <w:bookmarkEnd w:id="12"/>
    </w:tbl>
    <w:p w:rsidR="007E2BC7" w:rsidRPr="004B6FCF" w14:paraId="74BC95BF" w14:textId="77777777"/>
    <w:p w:rsidR="007E2BC7" w:rsidRPr="004E6761" w14:paraId="01C9C65D" w14:textId="77777777">
      <w:pPr>
        <w:keepNext/>
        <w:outlineLvl w:val="2"/>
        <w:rPr>
          <w:u w:val="single"/>
        </w:rPr>
      </w:pPr>
      <w:r w:rsidRPr="004B6FCF">
        <w:rPr>
          <w:u w:val="single"/>
        </w:rPr>
        <w:t>Description of selected adverse reactions</w:t>
      </w:r>
    </w:p>
    <w:p w:rsidR="007E2BC7" w:rsidRPr="004E6761" w14:paraId="34CB8892" w14:textId="77777777">
      <w:pPr>
        <w:keepNext/>
        <w:outlineLvl w:val="2"/>
        <w:rPr>
          <w:u w:val="single"/>
        </w:rPr>
      </w:pPr>
    </w:p>
    <w:p w:rsidR="007E2BC7" w:rsidRPr="004E6761" w14:paraId="7F431803" w14:textId="77777777">
      <w:pPr>
        <w:keepNext/>
        <w:outlineLvl w:val="2"/>
        <w:rPr>
          <w:i/>
          <w:iCs/>
        </w:rPr>
      </w:pPr>
      <w:r w:rsidRPr="004E6761">
        <w:rPr>
          <w:i/>
          <w:iCs/>
        </w:rPr>
        <w:t>Infusion</w:t>
      </w:r>
      <w:r w:rsidRPr="004E6761">
        <w:rPr>
          <w:i/>
          <w:iCs/>
        </w:rPr>
        <w:noBreakHyphen/>
        <w:t>related reactions (IRRs)</w:t>
      </w:r>
    </w:p>
    <w:p w:rsidR="007E2BC7" w:rsidRPr="0040771E" w14:paraId="4BFD2D2A" w14:textId="1E3FEBBB">
      <w:r w:rsidRPr="004E6761">
        <w:t>In clinical studies (monotherapy and combination treatments; N=2066) the incidence of any grade</w:t>
      </w:r>
      <w:r w:rsidRPr="0040771E">
        <w:t xml:space="preserve"> IRRs was 37% with the first (16 mg/kg, week 1) infusion of </w:t>
      </w:r>
      <w:r w:rsidR="00E65908">
        <w:t>DARZALEX</w:t>
      </w:r>
      <w:r w:rsidRPr="0040771E">
        <w:t xml:space="preserve">, 2% with the week 2 infusion, and cumulatively 6% with subsequent infusions. Less than 1% of patients had a grade 3/4 IRR with the week 2 or subsequent infusions. </w:t>
      </w:r>
    </w:p>
    <w:p w:rsidR="007E2BC7" w:rsidRPr="0040771E" w14:paraId="4ABA8AAF" w14:textId="77777777"/>
    <w:p w:rsidR="007E2BC7" w:rsidRPr="001975B2" w14:paraId="71674106" w14:textId="77777777">
      <w:r w:rsidRPr="0040771E">
        <w:t xml:space="preserve">The median time to onset of a reaction was 1.5 hours (range: 0 to 72.8 hours). The incidence of infusion modifications </w:t>
      </w:r>
      <w:r w:rsidRPr="001975B2">
        <w:t>due to reactions was 36%. Median durations of 16 mg/kg infusions for the 1</w:t>
      </w:r>
      <w:r w:rsidRPr="001975B2">
        <w:rPr>
          <w:vertAlign w:val="superscript"/>
        </w:rPr>
        <w:t>st</w:t>
      </w:r>
      <w:r w:rsidRPr="001975B2">
        <w:t xml:space="preserve"> week, 2</w:t>
      </w:r>
      <w:r w:rsidRPr="001975B2">
        <w:rPr>
          <w:vertAlign w:val="superscript"/>
        </w:rPr>
        <w:t>nd</w:t>
      </w:r>
      <w:r w:rsidRPr="001975B2">
        <w:t xml:space="preserve"> week and subsequent infusions were approximately 7, 4 and 3 hours respectively.</w:t>
      </w:r>
    </w:p>
    <w:p w:rsidR="007E2BC7" w:rsidRPr="001975B2" w14:paraId="21368123" w14:textId="4F31E530">
      <w:r w:rsidRPr="001975B2">
        <w:t xml:space="preserve">Severe IRRs included bronchospasm, dyspnoea, laryngeal oedema, pulmonary oedema, </w:t>
      </w:r>
      <w:r w:rsidRPr="001975B2" w:rsidR="00C65781">
        <w:t xml:space="preserve">ocular adverse reactions </w:t>
      </w:r>
      <w:r w:rsidRPr="001975B2" w:rsidR="00C65781">
        <w:rPr>
          <w:szCs w:val="22"/>
        </w:rPr>
        <w:t>(including choroidal effusion, acute myopia and acute angle closure glaucoma)</w:t>
      </w:r>
      <w:r w:rsidRPr="001975B2" w:rsidR="00C65781">
        <w:t xml:space="preserve">, </w:t>
      </w:r>
      <w:r w:rsidRPr="001975B2">
        <w:t xml:space="preserve">hypoxia, and hypertension. Other adverse IRRs included nasal congestion, cough, chills, throat irritation, </w:t>
      </w:r>
      <w:r w:rsidRPr="001975B2" w:rsidR="00C65781">
        <w:t xml:space="preserve">blurred vision, </w:t>
      </w:r>
      <w:r w:rsidRPr="001975B2">
        <w:t>vomiting and nausea (see section 4.4).</w:t>
      </w:r>
    </w:p>
    <w:p w:rsidR="007E2BC7" w:rsidRPr="001975B2" w14:paraId="4304DC3A" w14:textId="77777777"/>
    <w:p w:rsidR="007E2BC7" w:rsidRPr="0040771E" w14:paraId="2C8185F9" w14:textId="73FE06FE">
      <w:r w:rsidRPr="001975B2">
        <w:rPr>
          <w:bCs/>
          <w:lang w:eastAsia="en-GB"/>
        </w:rPr>
        <w:t xml:space="preserve">When </w:t>
      </w:r>
      <w:r w:rsidR="00E65908">
        <w:rPr>
          <w:bCs/>
          <w:lang w:eastAsia="en-GB"/>
        </w:rPr>
        <w:t>DARZALEX</w:t>
      </w:r>
      <w:r w:rsidRPr="0040771E">
        <w:rPr>
          <w:bCs/>
          <w:lang w:eastAsia="en-GB"/>
        </w:rPr>
        <w:t xml:space="preserve"> dosing was interrupted in the setting of ASCT (study MMY3006) for a median of 3.75 (range: 2.4; 6.9) months, upon re-initiation of </w:t>
      </w:r>
      <w:r w:rsidR="00E65908">
        <w:rPr>
          <w:bCs/>
          <w:lang w:eastAsia="en-GB"/>
        </w:rPr>
        <w:t>DARZALEX</w:t>
      </w:r>
      <w:r w:rsidRPr="0040771E">
        <w:rPr>
          <w:bCs/>
          <w:lang w:eastAsia="en-GB"/>
        </w:rPr>
        <w:t xml:space="preserve"> the incidence of IRRs was 11%</w:t>
      </w:r>
      <w:r w:rsidRPr="0040771E">
        <w:rPr>
          <w:lang w:eastAsia="en-GB"/>
        </w:rPr>
        <w:t xml:space="preserve"> </w:t>
      </w:r>
      <w:r w:rsidRPr="0040771E">
        <w:rPr>
          <w:bCs/>
          <w:lang w:eastAsia="en-GB"/>
        </w:rPr>
        <w:t>at first infusion following ASCT.</w:t>
      </w:r>
      <w:r w:rsidRPr="0040771E">
        <w:rPr>
          <w:iCs/>
          <w:lang w:eastAsia="en-GB"/>
        </w:rPr>
        <w:t xml:space="preserve"> </w:t>
      </w:r>
      <w:r w:rsidRPr="0040771E">
        <w:rPr>
          <w:bCs/>
          <w:iCs/>
          <w:lang w:eastAsia="en-GB"/>
        </w:rPr>
        <w:t xml:space="preserve">Infusion rate/dilution volume used upon re-initiation was that used for the last </w:t>
      </w:r>
      <w:r w:rsidR="00E65908">
        <w:rPr>
          <w:bCs/>
          <w:iCs/>
          <w:lang w:eastAsia="en-GB"/>
        </w:rPr>
        <w:t>DARZALEX</w:t>
      </w:r>
      <w:r w:rsidRPr="0040771E">
        <w:rPr>
          <w:bCs/>
          <w:iCs/>
          <w:lang w:eastAsia="en-GB"/>
        </w:rPr>
        <w:t xml:space="preserve"> infusion prior to interruption due to ASCT.</w:t>
      </w:r>
      <w:r w:rsidRPr="0040771E">
        <w:rPr>
          <w:bCs/>
          <w:lang w:eastAsia="en-GB"/>
        </w:rPr>
        <w:t xml:space="preserve"> IRRs occurring at re-initiation of </w:t>
      </w:r>
      <w:r w:rsidR="00E65908">
        <w:rPr>
          <w:bCs/>
          <w:lang w:eastAsia="en-GB"/>
        </w:rPr>
        <w:t>DARZALEX</w:t>
      </w:r>
      <w:r w:rsidRPr="0040771E">
        <w:rPr>
          <w:bCs/>
          <w:lang w:eastAsia="en-GB"/>
        </w:rPr>
        <w:t xml:space="preserve"> following ASCT were consistent in terms of symptoms and severity (grade 3/4: &lt;</w:t>
      </w:r>
      <w:r w:rsidR="00447015">
        <w:rPr>
          <w:bCs/>
          <w:lang w:eastAsia="en-GB"/>
        </w:rPr>
        <w:t xml:space="preserve"> </w:t>
      </w:r>
      <w:r w:rsidRPr="0040771E">
        <w:rPr>
          <w:bCs/>
          <w:lang w:eastAsia="en-GB"/>
        </w:rPr>
        <w:t>1%) with those reported in previous studies at week 2 or subsequent infusions.</w:t>
      </w:r>
    </w:p>
    <w:p w:rsidR="007E2BC7" w:rsidRPr="0040771E" w14:paraId="7FFD6051" w14:textId="77777777">
      <w:pPr>
        <w:rPr>
          <w:lang w:eastAsia="en-GB"/>
        </w:rPr>
      </w:pPr>
    </w:p>
    <w:p w:rsidR="007E2BC7" w:rsidRPr="0040771E" w14:paraId="366512D7" w14:textId="77777777">
      <w:pPr>
        <w:rPr>
          <w:bCs/>
          <w:lang w:eastAsia="en-GB"/>
        </w:rPr>
      </w:pPr>
      <w:r w:rsidRPr="0040771E">
        <w:rPr>
          <w:lang w:eastAsia="en-GB"/>
        </w:rPr>
        <w:t xml:space="preserve">In study MMY1001, patients receiving daratumumab combination treatment (n=97) </w:t>
      </w:r>
      <w:bookmarkStart w:id="13" w:name="_Hlk516490738"/>
      <w:r w:rsidRPr="0040771E">
        <w:rPr>
          <w:lang w:eastAsia="en-GB"/>
        </w:rPr>
        <w:t xml:space="preserve">were administered the first 16 mg/kg daratumumab dose at week 1 split over two days i.e. 8 mg/kg on day 1 and day 2 </w:t>
      </w:r>
      <w:r w:rsidRPr="0040771E">
        <w:rPr>
          <w:lang w:eastAsia="en-GB"/>
        </w:rPr>
        <w:t xml:space="preserve">respectively. </w:t>
      </w:r>
      <w:bookmarkStart w:id="14" w:name="_Hlk512327607"/>
      <w:r w:rsidRPr="0040771E">
        <w:rPr>
          <w:lang w:eastAsia="en-GB"/>
        </w:rPr>
        <w:t xml:space="preserve">The incidence of any grade IRRs was 42%, </w:t>
      </w:r>
      <w:r w:rsidRPr="0040771E">
        <w:rPr>
          <w:bCs/>
          <w:lang w:eastAsia="en-GB"/>
        </w:rPr>
        <w:t>with 36% of patients experiencing IRRs on day 1 of week 1, 4% on day 2 of week 1,</w:t>
      </w:r>
      <w:r w:rsidRPr="0040771E">
        <w:rPr>
          <w:lang w:eastAsia="en-GB"/>
        </w:rPr>
        <w:t xml:space="preserve"> and 8% with subsequent infusions.</w:t>
      </w:r>
      <w:bookmarkEnd w:id="14"/>
      <w:r w:rsidRPr="0040771E">
        <w:rPr>
          <w:bCs/>
          <w:lang w:eastAsia="en-GB"/>
        </w:rPr>
        <w:t xml:space="preserve"> The median time to onset of a reaction was 1.8 hours (range: 0.1 to 5.4 hours). The incidence of infusion interruptions due to reactions was 30%. Median durations of infusions were 4.2 h for week 1-day 1, 4.2 h for week 1-day 2, and 3.4 hours for the subsequent infusions.</w:t>
      </w:r>
      <w:bookmarkEnd w:id="13"/>
    </w:p>
    <w:p w:rsidR="007E2BC7" w:rsidRPr="0040771E" w14:paraId="5E908F0E" w14:textId="77777777">
      <w:pPr>
        <w:rPr>
          <w:lang w:val="en-US" w:eastAsia="en-GB"/>
        </w:rPr>
      </w:pPr>
    </w:p>
    <w:p w:rsidR="007E2BC7" w:rsidRPr="0040771E" w14:paraId="6ACCFAD4" w14:textId="77777777">
      <w:pPr>
        <w:keepNext/>
        <w:outlineLvl w:val="2"/>
        <w:rPr>
          <w:i/>
          <w:iCs/>
        </w:rPr>
      </w:pPr>
      <w:bookmarkStart w:id="15" w:name="_Hlk80273716"/>
      <w:r w:rsidRPr="0040771E">
        <w:rPr>
          <w:i/>
          <w:iCs/>
        </w:rPr>
        <w:t>Infections</w:t>
      </w:r>
    </w:p>
    <w:p w:rsidR="007E2BC7" w:rsidRPr="0040771E" w14:paraId="54BF82B0" w14:textId="735F4657">
      <w:pPr>
        <w:rPr>
          <w:szCs w:val="22"/>
          <w:lang w:eastAsia="en-GB"/>
        </w:rPr>
      </w:pPr>
      <w:r w:rsidRPr="0040771E">
        <w:rPr>
          <w:szCs w:val="22"/>
          <w:lang w:eastAsia="en-GB"/>
        </w:rPr>
        <w:t xml:space="preserve">In patients receiving </w:t>
      </w:r>
      <w:r w:rsidR="00E65908">
        <w:t>DARZALEX</w:t>
      </w:r>
      <w:r w:rsidRPr="0040771E">
        <w:t xml:space="preserve"> </w:t>
      </w:r>
      <w:r w:rsidRPr="0040771E">
        <w:rPr>
          <w:szCs w:val="22"/>
          <w:lang w:eastAsia="en-GB"/>
        </w:rPr>
        <w:t>combination therapy</w:t>
      </w:r>
      <w:r w:rsidRPr="0040771E">
        <w:t>, grade 3 or</w:t>
      </w:r>
      <w:r w:rsidRPr="0040771E">
        <w:rPr>
          <w:szCs w:val="22"/>
          <w:lang w:eastAsia="en-GB"/>
        </w:rPr>
        <w:t> </w:t>
      </w:r>
      <w:r w:rsidRPr="0040771E">
        <w:t>4 infections were reported as follows:</w:t>
      </w:r>
      <w:r w:rsidRPr="0040771E">
        <w:rPr>
          <w:szCs w:val="22"/>
          <w:lang w:eastAsia="en-GB"/>
        </w:rPr>
        <w:t xml:space="preserve"> </w:t>
      </w:r>
    </w:p>
    <w:p w:rsidR="007E2BC7" w:rsidRPr="0040771E" w14:paraId="52057486" w14:textId="77777777">
      <w:r w:rsidRPr="0040771E">
        <w:rPr>
          <w:szCs w:val="22"/>
          <w:lang w:eastAsia="en-GB"/>
        </w:rPr>
        <w:t>Relapsed/refractory patient studies: DVd</w:t>
      </w:r>
      <w:r w:rsidRPr="0040771E">
        <w:t>: 21%, Vd: 19%; DRd: 28%, Rd: 23%; DPd: 28</w:t>
      </w:r>
      <w:r w:rsidRPr="0040771E">
        <w:rPr>
          <w:szCs w:val="22"/>
          <w:lang w:eastAsia="en-GB"/>
        </w:rPr>
        <w:t>%</w:t>
      </w:r>
    </w:p>
    <w:p w:rsidR="007E2BC7" w:rsidRPr="0040771E" w14:paraId="365429AC" w14:textId="77777777">
      <w:r w:rsidRPr="0040771E">
        <w:t>Newly diagnosed patient studies: D</w:t>
      </w:r>
      <w:r w:rsidRPr="0040771E">
        <w:noBreakHyphen/>
        <w:t>VMP: 23%, VMP: 15%;</w:t>
      </w:r>
      <w:bookmarkStart w:id="16" w:name="_Hlk534378867"/>
      <w:r w:rsidRPr="0040771E">
        <w:rPr>
          <w:sz w:val="24"/>
        </w:rPr>
        <w:t xml:space="preserve"> </w:t>
      </w:r>
      <w:r w:rsidRPr="0040771E">
        <w:t>DRd: 32%, Rd: 23</w:t>
      </w:r>
      <w:r w:rsidRPr="0040771E">
        <w:rPr>
          <w:szCs w:val="22"/>
          <w:lang w:eastAsia="en-GB"/>
        </w:rPr>
        <w:t>%</w:t>
      </w:r>
      <w:bookmarkEnd w:id="16"/>
      <w:r w:rsidRPr="0040771E">
        <w:rPr>
          <w:szCs w:val="22"/>
          <w:lang w:eastAsia="en-GB"/>
        </w:rPr>
        <w:t>;</w:t>
      </w:r>
      <w:r w:rsidRPr="0040771E">
        <w:rPr>
          <w:sz w:val="24"/>
          <w:szCs w:val="24"/>
          <w:lang w:eastAsia="en-GB"/>
        </w:rPr>
        <w:t xml:space="preserve"> </w:t>
      </w:r>
      <w:r w:rsidRPr="0040771E">
        <w:rPr>
          <w:szCs w:val="22"/>
          <w:lang w:eastAsia="en-GB"/>
        </w:rPr>
        <w:t xml:space="preserve">D-VTd: 22%, VTd: 20%. </w:t>
      </w:r>
    </w:p>
    <w:bookmarkEnd w:id="15"/>
    <w:p w:rsidR="007E2BC7" w:rsidRPr="0040771E" w14:paraId="55CF8207" w14:textId="77777777">
      <w:pPr>
        <w:rPr>
          <w:szCs w:val="22"/>
          <w:lang w:eastAsia="en-GB"/>
        </w:rPr>
      </w:pPr>
      <w:r w:rsidRPr="0040771E">
        <w:t>Pneumonia was the most commonly reported severe (grade 3 or</w:t>
      </w:r>
      <w:r w:rsidRPr="0040771E">
        <w:rPr>
          <w:szCs w:val="22"/>
          <w:lang w:eastAsia="en-GB"/>
        </w:rPr>
        <w:t> </w:t>
      </w:r>
      <w:r w:rsidRPr="0040771E">
        <w:t xml:space="preserve">4) infection across studies. </w:t>
      </w:r>
      <w:bookmarkStart w:id="17" w:name="_Hlk534380361"/>
      <w:r w:rsidRPr="0040771E">
        <w:t xml:space="preserve">In active controlled studies, discontinuations from treatment due to infections </w:t>
      </w:r>
      <w:r w:rsidRPr="0040771E">
        <w:rPr>
          <w:szCs w:val="22"/>
          <w:lang w:eastAsia="en-GB"/>
        </w:rPr>
        <w:t>occurred in</w:t>
      </w:r>
      <w:r w:rsidRPr="0040771E">
        <w:t xml:space="preserve"> 1-4% </w:t>
      </w:r>
      <w:bookmarkEnd w:id="17"/>
      <w:r w:rsidRPr="0040771E">
        <w:rPr>
          <w:szCs w:val="22"/>
          <w:lang w:eastAsia="en-GB"/>
        </w:rPr>
        <w:t>of patients</w:t>
      </w:r>
      <w:r w:rsidRPr="0040771E">
        <w:t>. Fatal infections were primarily due to pneumonia and sepsis</w:t>
      </w:r>
      <w:r w:rsidRPr="0040771E">
        <w:rPr>
          <w:szCs w:val="22"/>
          <w:lang w:eastAsia="en-GB"/>
        </w:rPr>
        <w:t>.</w:t>
      </w:r>
    </w:p>
    <w:p w:rsidR="007E2BC7" w:rsidRPr="0040771E" w14:paraId="14BC1884" w14:textId="45B82616">
      <w:pPr>
        <w:rPr>
          <w:noProof w:val="0"/>
          <w:szCs w:val="22"/>
          <w:lang w:val="en-US" w:eastAsia="en-GB"/>
        </w:rPr>
      </w:pPr>
      <w:r w:rsidRPr="0040771E">
        <w:rPr>
          <w:noProof w:val="0"/>
          <w:szCs w:val="22"/>
          <w:lang w:val="en-US" w:eastAsia="en-GB"/>
        </w:rPr>
        <w:t xml:space="preserve">In patients receiving </w:t>
      </w:r>
      <w:r w:rsidR="00E65908">
        <w:rPr>
          <w:noProof w:val="0"/>
          <w:szCs w:val="22"/>
          <w:lang w:val="en-US" w:eastAsia="en-GB"/>
        </w:rPr>
        <w:t>DARZALEX</w:t>
      </w:r>
      <w:r w:rsidRPr="0040771E">
        <w:rPr>
          <w:noProof w:val="0"/>
          <w:szCs w:val="22"/>
          <w:lang w:val="en-US" w:eastAsia="en-GB"/>
        </w:rPr>
        <w:t xml:space="preserve"> combination therapy, fatal infections (grade 5) were reported as follows:</w:t>
      </w:r>
    </w:p>
    <w:p w:rsidR="007E2BC7" w:rsidRPr="0040771E" w14:paraId="0F054EDB" w14:textId="77777777">
      <w:pPr>
        <w:rPr>
          <w:strike/>
          <w:sz w:val="24"/>
          <w:szCs w:val="24"/>
          <w:lang w:eastAsia="en-GB"/>
        </w:rPr>
      </w:pPr>
      <w:r w:rsidRPr="0040771E">
        <w:rPr>
          <w:noProof w:val="0"/>
          <w:szCs w:val="22"/>
          <w:lang w:val="en-US" w:eastAsia="en-GB"/>
        </w:rPr>
        <w:t xml:space="preserve">Relapsed/refractory patient studies: </w:t>
      </w:r>
      <w:r w:rsidRPr="0040771E">
        <w:rPr>
          <w:noProof w:val="0"/>
          <w:szCs w:val="22"/>
          <w:lang w:val="en-US" w:eastAsia="en-GB"/>
        </w:rPr>
        <w:t>DVd</w:t>
      </w:r>
      <w:r w:rsidRPr="0040771E">
        <w:rPr>
          <w:noProof w:val="0"/>
          <w:szCs w:val="22"/>
          <w:lang w:val="en-US" w:eastAsia="en-GB"/>
        </w:rPr>
        <w:t xml:space="preserve">: 1%, </w:t>
      </w:r>
      <w:r w:rsidRPr="0040771E">
        <w:rPr>
          <w:noProof w:val="0"/>
          <w:szCs w:val="22"/>
          <w:lang w:val="en-US" w:eastAsia="en-GB"/>
        </w:rPr>
        <w:t>Vd</w:t>
      </w:r>
      <w:r w:rsidRPr="0040771E">
        <w:rPr>
          <w:noProof w:val="0"/>
          <w:szCs w:val="22"/>
          <w:lang w:val="en-US" w:eastAsia="en-GB"/>
        </w:rPr>
        <w:t xml:space="preserve">: 2%; </w:t>
      </w:r>
      <w:r w:rsidRPr="0040771E">
        <w:rPr>
          <w:noProof w:val="0"/>
          <w:szCs w:val="22"/>
          <w:lang w:val="en-US" w:eastAsia="en-GB"/>
        </w:rPr>
        <w:t>DRd</w:t>
      </w:r>
      <w:r w:rsidRPr="0040771E">
        <w:rPr>
          <w:noProof w:val="0"/>
          <w:szCs w:val="22"/>
          <w:lang w:val="en-US" w:eastAsia="en-GB"/>
        </w:rPr>
        <w:t xml:space="preserve">: 2%, Rd: 1%; </w:t>
      </w:r>
      <w:r w:rsidRPr="0040771E">
        <w:rPr>
          <w:noProof w:val="0"/>
          <w:szCs w:val="22"/>
          <w:lang w:val="en-US" w:eastAsia="en-GB"/>
        </w:rPr>
        <w:t>DPd</w:t>
      </w:r>
      <w:r w:rsidRPr="0040771E">
        <w:rPr>
          <w:noProof w:val="0"/>
          <w:szCs w:val="22"/>
          <w:lang w:val="en-US" w:eastAsia="en-GB"/>
        </w:rPr>
        <w:t>: 2%</w:t>
      </w:r>
    </w:p>
    <w:p w:rsidR="007E2BC7" w:rsidRPr="0040771E" w14:paraId="59AEE54C" w14:textId="77777777">
      <w:pPr>
        <w:rPr>
          <w:noProof w:val="0"/>
          <w:szCs w:val="22"/>
          <w:lang w:val="en-US" w:eastAsia="en-GB"/>
        </w:rPr>
      </w:pPr>
      <w:r w:rsidRPr="0040771E">
        <w:rPr>
          <w:noProof w:val="0"/>
          <w:szCs w:val="22"/>
          <w:lang w:val="en-US" w:eastAsia="en-GB"/>
        </w:rPr>
        <w:t xml:space="preserve">Newly diagnosed patient studies: D-VMP: 1%, VMP: 1%; </w:t>
      </w:r>
      <w:r w:rsidRPr="0040771E">
        <w:rPr>
          <w:noProof w:val="0"/>
          <w:szCs w:val="22"/>
          <w:lang w:val="en-US" w:eastAsia="en-GB"/>
        </w:rPr>
        <w:t>DRd</w:t>
      </w:r>
      <w:r w:rsidRPr="0040771E">
        <w:rPr>
          <w:noProof w:val="0"/>
          <w:szCs w:val="22"/>
          <w:lang w:val="en-US" w:eastAsia="en-GB"/>
        </w:rPr>
        <w:t xml:space="preserve">: 2%, Rd: 2%; </w:t>
      </w:r>
      <w:r w:rsidRPr="0040771E">
        <w:rPr>
          <w:noProof w:val="0"/>
          <w:szCs w:val="22"/>
          <w:lang w:val="en-US" w:eastAsia="en-GB"/>
        </w:rPr>
        <w:t>DVTd</w:t>
      </w:r>
      <w:r w:rsidRPr="0040771E">
        <w:rPr>
          <w:noProof w:val="0"/>
          <w:szCs w:val="22"/>
          <w:lang w:val="en-US" w:eastAsia="en-GB"/>
        </w:rPr>
        <w:t xml:space="preserve">: 0%, </w:t>
      </w:r>
      <w:r w:rsidRPr="0040771E">
        <w:rPr>
          <w:noProof w:val="0"/>
          <w:szCs w:val="22"/>
          <w:lang w:val="en-US" w:eastAsia="en-GB"/>
        </w:rPr>
        <w:t>VTd</w:t>
      </w:r>
      <w:r w:rsidRPr="0040771E">
        <w:rPr>
          <w:noProof w:val="0"/>
          <w:szCs w:val="22"/>
          <w:lang w:val="en-US" w:eastAsia="en-GB"/>
        </w:rPr>
        <w:t>: 0%.</w:t>
      </w:r>
    </w:p>
    <w:p w:rsidR="007E2BC7" w:rsidRPr="0040771E" w14:paraId="259F883A" w14:textId="77777777">
      <w:pPr>
        <w:rPr>
          <w:sz w:val="18"/>
          <w:lang w:eastAsia="en-GB"/>
        </w:rPr>
      </w:pPr>
      <w:r w:rsidRPr="0040771E">
        <w:rPr>
          <w:sz w:val="18"/>
          <w:lang w:eastAsia="en-GB"/>
        </w:rPr>
        <w:t xml:space="preserve">Key: D=daratumumab; </w:t>
      </w:r>
      <w:r w:rsidRPr="0040771E">
        <w:rPr>
          <w:sz w:val="18"/>
          <w:szCs w:val="18"/>
        </w:rPr>
        <w:t>Vd=bortezomib-dexamethasone</w:t>
      </w:r>
      <w:r w:rsidRPr="0040771E">
        <w:rPr>
          <w:bCs/>
          <w:iCs/>
          <w:sz w:val="18"/>
          <w:szCs w:val="18"/>
        </w:rPr>
        <w:t>; Rd=lenalidomide-dexamethasone;</w:t>
      </w:r>
      <w:r w:rsidRPr="0040771E">
        <w:rPr>
          <w:sz w:val="18"/>
          <w:szCs w:val="18"/>
        </w:rPr>
        <w:t xml:space="preserve"> Pd=pomalidomide-dexamethasone; VMP=bortezomib-melphalan-prednisone;</w:t>
      </w:r>
      <w:r w:rsidRPr="0040771E">
        <w:rPr>
          <w:iCs/>
          <w:sz w:val="18"/>
          <w:szCs w:val="18"/>
        </w:rPr>
        <w:t xml:space="preserve"> VTd=bortezomib-thalidomide-dexamethasone.</w:t>
      </w:r>
    </w:p>
    <w:p w:rsidR="007E2BC7" w:rsidRPr="0040771E" w14:paraId="7439D6F5" w14:textId="77777777">
      <w:pPr>
        <w:rPr>
          <w:sz w:val="18"/>
        </w:rPr>
      </w:pPr>
    </w:p>
    <w:p w:rsidR="007E2BC7" w:rsidRPr="0040771E" w14:paraId="69F8768D" w14:textId="77777777">
      <w:pPr>
        <w:keepNext/>
        <w:outlineLvl w:val="2"/>
        <w:rPr>
          <w:i/>
          <w:lang w:eastAsia="en-GB"/>
        </w:rPr>
      </w:pPr>
      <w:r w:rsidRPr="0040771E">
        <w:rPr>
          <w:i/>
          <w:lang w:eastAsia="en-GB"/>
        </w:rPr>
        <w:t>Haemolysis</w:t>
      </w:r>
    </w:p>
    <w:p w:rsidR="007E2BC7" w:rsidRPr="0040771E" w14:paraId="7BE901AB" w14:textId="77777777">
      <w:pPr>
        <w:rPr>
          <w:iCs/>
          <w:lang w:eastAsia="en-GB"/>
        </w:rPr>
      </w:pPr>
      <w:r w:rsidRPr="0040771E">
        <w:rPr>
          <w:iCs/>
          <w:lang w:eastAsia="en-GB"/>
        </w:rPr>
        <w:t>There is a theoretical risk of haemolysis. Continuous monitoring for this safety signal will be performed in clinical studies and post-marketing safety data.</w:t>
      </w:r>
    </w:p>
    <w:p w:rsidR="007E2BC7" w:rsidRPr="0040771E" w14:paraId="34F20664" w14:textId="77777777">
      <w:pPr>
        <w:autoSpaceDE w:val="0"/>
        <w:autoSpaceDN w:val="0"/>
        <w:adjustRightInd w:val="0"/>
        <w:rPr>
          <w:szCs w:val="22"/>
        </w:rPr>
      </w:pPr>
    </w:p>
    <w:p w:rsidR="007E2BC7" w:rsidRPr="0040771E" w14:paraId="43EBFB2D" w14:textId="77777777">
      <w:pPr>
        <w:keepNext/>
        <w:autoSpaceDE w:val="0"/>
        <w:autoSpaceDN w:val="0"/>
        <w:adjustRightInd w:val="0"/>
        <w:outlineLvl w:val="2"/>
        <w:rPr>
          <w:u w:val="single"/>
        </w:rPr>
      </w:pPr>
      <w:r w:rsidRPr="0040771E">
        <w:rPr>
          <w:iCs/>
          <w:szCs w:val="22"/>
          <w:u w:val="single"/>
        </w:rPr>
        <w:t>Other special populations</w:t>
      </w:r>
    </w:p>
    <w:p w:rsidR="007E2BC7" w:rsidRPr="0040771E" w14:paraId="4F0FC6D0" w14:textId="77777777">
      <w:pPr>
        <w:autoSpaceDE w:val="0"/>
        <w:autoSpaceDN w:val="0"/>
        <w:adjustRightInd w:val="0"/>
        <w:rPr>
          <w:iCs/>
          <w:szCs w:val="22"/>
        </w:rPr>
      </w:pPr>
      <w:r w:rsidRPr="0040771E">
        <w:rPr>
          <w:iCs/>
          <w:szCs w:val="22"/>
        </w:rPr>
        <w:t>In the phase III study MMY3007, which compared treatment with D-VMP to treatment with VMP in patients with newly diagnosed multiple myeloma who are ineligible for autologous stem cell transplant, safety analysis of the subgroup of patients with an ECOG performance score of 2 (D-VMP: n=89, VMP: n=84), was consistent with the overall population (see section 5.1).</w:t>
      </w:r>
    </w:p>
    <w:p w:rsidR="007E2BC7" w:rsidRPr="0040771E" w14:paraId="2B4AEEC2" w14:textId="77777777">
      <w:pPr>
        <w:autoSpaceDE w:val="0"/>
        <w:autoSpaceDN w:val="0"/>
        <w:adjustRightInd w:val="0"/>
        <w:rPr>
          <w:szCs w:val="22"/>
        </w:rPr>
      </w:pPr>
    </w:p>
    <w:p w:rsidR="007E2BC7" w:rsidRPr="0040771E" w14:paraId="74B6501B" w14:textId="77777777">
      <w:pPr>
        <w:tabs>
          <w:tab w:val="clear" w:pos="567"/>
        </w:tabs>
        <w:outlineLvl w:val="3"/>
        <w:rPr>
          <w:i/>
          <w:iCs/>
          <w:szCs w:val="22"/>
        </w:rPr>
      </w:pPr>
      <w:bookmarkStart w:id="18" w:name="_Toc128303691"/>
      <w:bookmarkStart w:id="19" w:name="_Toc128305216"/>
      <w:bookmarkStart w:id="20" w:name="_Toc128305449"/>
      <w:bookmarkStart w:id="21" w:name="_Toc128306664"/>
      <w:bookmarkStart w:id="22" w:name="_Toc128307792"/>
      <w:bookmarkStart w:id="23" w:name="_Toc138496798"/>
      <w:bookmarkStart w:id="24" w:name="_Toc147561368"/>
      <w:r w:rsidRPr="0040771E">
        <w:rPr>
          <w:i/>
          <w:iCs/>
          <w:szCs w:val="22"/>
        </w:rPr>
        <w:t>Elderly patients</w:t>
      </w:r>
    </w:p>
    <w:p w:rsidR="007E2BC7" w:rsidRPr="0040771E" w14:paraId="112C0E87" w14:textId="4499E512">
      <w:pPr>
        <w:tabs>
          <w:tab w:val="clear" w:pos="567"/>
        </w:tabs>
        <w:rPr>
          <w:iCs/>
          <w:szCs w:val="22"/>
        </w:rPr>
      </w:pPr>
      <w:r w:rsidRPr="0040771E">
        <w:rPr>
          <w:iCs/>
          <w:szCs w:val="22"/>
        </w:rPr>
        <w:t xml:space="preserve">Of the 2459 patients who received </w:t>
      </w:r>
      <w:r w:rsidR="00E65908">
        <w:rPr>
          <w:iCs/>
          <w:szCs w:val="22"/>
        </w:rPr>
        <w:t>DARZALEX</w:t>
      </w:r>
      <w:r w:rsidRPr="0040771E">
        <w:rPr>
          <w:iCs/>
          <w:szCs w:val="22"/>
        </w:rPr>
        <w:t xml:space="preserve"> at the recommended dose, 38% were 65 to 75 years of age, and 15% were 75 years of age or older. No overall differences in effectiveness were observed based on age. The incidence of serious adverse reactions was higher in older than in younger patients. Among patients with relapsed and refractory multiple myeloma (n=1213), the most common serious adverse reactions that occurred more frequently in elderly (≥65 years of age) were pneumonia and sepsis. Among patients with newly diagnosed multiple myeloma who are ineligible for autologous stem cell transplant (n=710), the most common serious adverse reaction that occurred more frequently in elderly (≥75 years of age) was pneumonia.</w:t>
      </w:r>
    </w:p>
    <w:bookmarkEnd w:id="18"/>
    <w:bookmarkEnd w:id="19"/>
    <w:bookmarkEnd w:id="20"/>
    <w:bookmarkEnd w:id="21"/>
    <w:bookmarkEnd w:id="22"/>
    <w:bookmarkEnd w:id="23"/>
    <w:bookmarkEnd w:id="24"/>
    <w:p w:rsidR="007E2BC7" w:rsidRPr="0040771E" w14:paraId="6236081D" w14:textId="77777777">
      <w:pPr>
        <w:autoSpaceDE w:val="0"/>
        <w:autoSpaceDN w:val="0"/>
        <w:adjustRightInd w:val="0"/>
        <w:rPr>
          <w:szCs w:val="22"/>
          <w:u w:val="single"/>
        </w:rPr>
      </w:pPr>
    </w:p>
    <w:p w:rsidR="007E2BC7" w:rsidRPr="0040771E" w14:paraId="4DE22DC8" w14:textId="77777777">
      <w:pPr>
        <w:keepNext/>
        <w:autoSpaceDE w:val="0"/>
        <w:autoSpaceDN w:val="0"/>
        <w:adjustRightInd w:val="0"/>
        <w:outlineLvl w:val="2"/>
        <w:rPr>
          <w:szCs w:val="22"/>
          <w:u w:val="single"/>
        </w:rPr>
      </w:pPr>
    </w:p>
    <w:p w:rsidR="007E2BC7" w:rsidRPr="0040771E" w14:paraId="7903250C" w14:textId="77777777">
      <w:pPr>
        <w:keepNext/>
        <w:autoSpaceDE w:val="0"/>
        <w:autoSpaceDN w:val="0"/>
        <w:adjustRightInd w:val="0"/>
        <w:outlineLvl w:val="2"/>
        <w:rPr>
          <w:szCs w:val="22"/>
          <w:u w:val="single"/>
        </w:rPr>
      </w:pPr>
      <w:r w:rsidRPr="0040771E">
        <w:rPr>
          <w:szCs w:val="22"/>
          <w:u w:val="single"/>
        </w:rPr>
        <w:t>Reporting of suspected adverse reactions</w:t>
      </w:r>
    </w:p>
    <w:p w:rsidR="007E2BC7" w:rsidRPr="0040771E" w14:paraId="08B143EF" w14:textId="77777777">
      <w:pPr>
        <w:autoSpaceDE w:val="0"/>
        <w:autoSpaceDN w:val="0"/>
        <w:adjustRightInd w:val="0"/>
        <w:rPr>
          <w:szCs w:val="22"/>
        </w:rPr>
      </w:pPr>
      <w:r w:rsidRPr="0040771E">
        <w:rPr>
          <w:szCs w:val="22"/>
        </w:rPr>
        <w:t>Reporting suspected adverse reactions after authorisation of the medicinal product is important. It allows continued monitoring of the benefit/risk balance of the medicinal product.</w:t>
      </w:r>
    </w:p>
    <w:p w:rsidR="007E2BC7" w:rsidRPr="0040771E" w14:paraId="1387E3FF" w14:textId="77777777">
      <w:pPr>
        <w:rPr>
          <w:szCs w:val="22"/>
          <w:lang w:val="en-US"/>
        </w:rPr>
      </w:pPr>
      <w:r w:rsidRPr="0040771E">
        <w:t xml:space="preserve">Any suspected adverse events should be reported to the Ministry of Health according to the National Regulation by using an online form  </w:t>
      </w:r>
      <w:hyperlink r:id="rId11" w:history="1">
        <w:r w:rsidRPr="0040771E">
          <w:rPr>
            <w:rStyle w:val="Hyperlink"/>
            <w:szCs w:val="22"/>
            <w:lang w:val="en-US"/>
          </w:rPr>
          <w:t>https://sideeffects.health.gov.il/</w:t>
        </w:r>
      </w:hyperlink>
    </w:p>
    <w:p w:rsidR="007E2BC7" w:rsidRPr="0040771E" w14:paraId="5F425BA4" w14:textId="77777777"/>
    <w:p w:rsidR="007E2BC7" w:rsidRPr="0040771E" w14:paraId="0FC290A7" w14:textId="77777777">
      <w:pPr>
        <w:keepNext/>
        <w:ind w:left="567" w:hanging="567"/>
        <w:outlineLvl w:val="1"/>
        <w:rPr>
          <w:b/>
          <w:bCs/>
          <w:szCs w:val="22"/>
        </w:rPr>
      </w:pPr>
      <w:r w:rsidRPr="0040771E">
        <w:rPr>
          <w:b/>
          <w:bCs/>
          <w:szCs w:val="22"/>
        </w:rPr>
        <w:t>4.9</w:t>
      </w:r>
      <w:r w:rsidRPr="0040771E">
        <w:rPr>
          <w:b/>
          <w:bCs/>
          <w:szCs w:val="22"/>
        </w:rPr>
        <w:tab/>
        <w:t>Overdose</w:t>
      </w:r>
    </w:p>
    <w:p w:rsidR="007E2BC7" w:rsidRPr="0040771E" w14:paraId="363403A0" w14:textId="77777777">
      <w:pPr>
        <w:keepNext/>
        <w:rPr>
          <w:szCs w:val="22"/>
        </w:rPr>
      </w:pPr>
    </w:p>
    <w:p w:rsidR="007E2BC7" w:rsidRPr="0040771E" w14:paraId="047BEA5E" w14:textId="77777777">
      <w:pPr>
        <w:keepNext/>
        <w:outlineLvl w:val="2"/>
        <w:rPr>
          <w:szCs w:val="22"/>
          <w:u w:val="single"/>
        </w:rPr>
      </w:pPr>
      <w:r w:rsidRPr="0040771E">
        <w:rPr>
          <w:szCs w:val="22"/>
          <w:u w:val="single"/>
        </w:rPr>
        <w:t>Symptoms and signs</w:t>
      </w:r>
    </w:p>
    <w:p w:rsidR="007E2BC7" w:rsidRPr="0040771E" w14:paraId="20DAD870" w14:textId="77777777">
      <w:pPr>
        <w:rPr>
          <w:szCs w:val="22"/>
        </w:rPr>
      </w:pPr>
      <w:r w:rsidRPr="0040771E">
        <w:rPr>
          <w:szCs w:val="22"/>
        </w:rPr>
        <w:t>There has been no experience of overdose in clinical studies. Doses up to 24 mg/kg have been administered intravenously in a clinical study.</w:t>
      </w:r>
    </w:p>
    <w:p w:rsidR="007E2BC7" w:rsidRPr="0040771E" w14:paraId="06AE14B0" w14:textId="77777777">
      <w:pPr>
        <w:rPr>
          <w:szCs w:val="22"/>
        </w:rPr>
      </w:pPr>
    </w:p>
    <w:p w:rsidR="007E2BC7" w:rsidRPr="0040771E" w14:paraId="5F5C48CD" w14:textId="77777777">
      <w:pPr>
        <w:keepNext/>
        <w:outlineLvl w:val="2"/>
        <w:rPr>
          <w:szCs w:val="22"/>
          <w:u w:val="single"/>
        </w:rPr>
      </w:pPr>
      <w:r w:rsidRPr="0040771E">
        <w:rPr>
          <w:szCs w:val="22"/>
          <w:u w:val="single"/>
        </w:rPr>
        <w:t>Treatment</w:t>
      </w:r>
    </w:p>
    <w:p w:rsidR="007E2BC7" w:rsidRPr="0040771E" w14:paraId="7261C865" w14:textId="77777777">
      <w:pPr>
        <w:rPr>
          <w:szCs w:val="22"/>
        </w:rPr>
      </w:pPr>
      <w:r w:rsidRPr="0040771E">
        <w:rPr>
          <w:szCs w:val="22"/>
        </w:rPr>
        <w:t>There is no known specific antidote for daratumumab overdose. In the event of an overdose, the patient should be monitored for any signs or symptoms of adverse reactions and appropriate symptomatic treatment should be instituted immediately.</w:t>
      </w:r>
    </w:p>
    <w:p w:rsidR="007E2BC7" w:rsidRPr="0040771E" w14:paraId="2C51C86C" w14:textId="77777777">
      <w:pPr>
        <w:rPr>
          <w:szCs w:val="22"/>
        </w:rPr>
      </w:pPr>
    </w:p>
    <w:p w:rsidR="007E2BC7" w:rsidRPr="0040771E" w14:paraId="5882A948" w14:textId="77777777">
      <w:pPr>
        <w:rPr>
          <w:szCs w:val="22"/>
        </w:rPr>
      </w:pPr>
    </w:p>
    <w:p w:rsidR="007E2BC7" w:rsidRPr="0040771E" w14:paraId="27A50507" w14:textId="77777777">
      <w:pPr>
        <w:keepNext/>
        <w:ind w:left="567" w:hanging="567"/>
        <w:outlineLvl w:val="0"/>
        <w:rPr>
          <w:b/>
          <w:bCs/>
          <w:szCs w:val="22"/>
        </w:rPr>
      </w:pPr>
      <w:bookmarkStart w:id="25" w:name="_Hlk106047801"/>
      <w:r w:rsidRPr="0040771E">
        <w:rPr>
          <w:b/>
          <w:bCs/>
          <w:szCs w:val="22"/>
        </w:rPr>
        <w:t>5.</w:t>
      </w:r>
      <w:r w:rsidRPr="0040771E">
        <w:rPr>
          <w:b/>
          <w:bCs/>
          <w:szCs w:val="22"/>
        </w:rPr>
        <w:tab/>
        <w:t>PHARMACOLOGICAL PROPERTIES</w:t>
      </w:r>
    </w:p>
    <w:bookmarkEnd w:id="25"/>
    <w:p w:rsidR="007E2BC7" w:rsidRPr="0040771E" w14:paraId="00BE972B" w14:textId="77777777">
      <w:pPr>
        <w:keepNext/>
        <w:rPr>
          <w:szCs w:val="22"/>
        </w:rPr>
      </w:pPr>
    </w:p>
    <w:p w:rsidR="007E2BC7" w:rsidRPr="0040771E" w14:paraId="2AB9F3E3" w14:textId="77777777">
      <w:pPr>
        <w:keepNext/>
        <w:ind w:left="567" w:hanging="567"/>
        <w:outlineLvl w:val="1"/>
        <w:rPr>
          <w:b/>
          <w:bCs/>
          <w:szCs w:val="22"/>
        </w:rPr>
      </w:pPr>
      <w:bookmarkStart w:id="26" w:name="_Hlk529103698"/>
      <w:bookmarkStart w:id="27" w:name="_Hlk106047816"/>
      <w:r w:rsidRPr="0040771E">
        <w:rPr>
          <w:b/>
          <w:bCs/>
          <w:szCs w:val="22"/>
        </w:rPr>
        <w:t>5.1</w:t>
      </w:r>
      <w:r w:rsidRPr="0040771E">
        <w:rPr>
          <w:b/>
          <w:bCs/>
          <w:szCs w:val="22"/>
        </w:rPr>
        <w:tab/>
        <w:t>Pharmacodynamic properties</w:t>
      </w:r>
    </w:p>
    <w:bookmarkEnd w:id="26"/>
    <w:p w:rsidR="007E2BC7" w:rsidRPr="0040771E" w14:paraId="3ACE05D6" w14:textId="77777777">
      <w:pPr>
        <w:keepNext/>
        <w:rPr>
          <w:szCs w:val="22"/>
        </w:rPr>
      </w:pPr>
    </w:p>
    <w:p w:rsidR="007E2BC7" w:rsidRPr="0040771E" w14:paraId="0CC2B4D4" w14:textId="376C7785">
      <w:pPr>
        <w:rPr>
          <w:szCs w:val="22"/>
        </w:rPr>
      </w:pPr>
      <w:r w:rsidRPr="0040771E">
        <w:rPr>
          <w:szCs w:val="22"/>
        </w:rPr>
        <w:t xml:space="preserve">Pharmacotherapeutic group: Antineoplastic agents, </w:t>
      </w:r>
      <w:r w:rsidRPr="0040771E">
        <w:rPr>
          <w:bCs/>
          <w:szCs w:val="22"/>
        </w:rPr>
        <w:t xml:space="preserve">monoclonal antibodies and antibody drug conjugates, </w:t>
      </w:r>
      <w:r w:rsidRPr="0040771E">
        <w:rPr>
          <w:szCs w:val="22"/>
        </w:rPr>
        <w:t>ATC code:</w:t>
      </w:r>
      <w:r w:rsidRPr="0040771E">
        <w:rPr>
          <w:bCs/>
        </w:rPr>
        <w:t xml:space="preserve"> </w:t>
      </w:r>
      <w:r w:rsidRPr="0040771E">
        <w:rPr>
          <w:bCs/>
          <w:szCs w:val="22"/>
        </w:rPr>
        <w:t>L01FC01</w:t>
      </w:r>
      <w:r w:rsidRPr="0040771E">
        <w:rPr>
          <w:szCs w:val="22"/>
        </w:rPr>
        <w:t>.</w:t>
      </w:r>
    </w:p>
    <w:p w:rsidR="007E2BC7" w:rsidRPr="0040771E" w14:paraId="249FEF27" w14:textId="77777777"/>
    <w:p w:rsidR="007E2BC7" w:rsidRPr="0040771E" w14:paraId="26A65F3F" w14:textId="77777777">
      <w:pPr>
        <w:keepNext/>
        <w:autoSpaceDE w:val="0"/>
        <w:autoSpaceDN w:val="0"/>
        <w:adjustRightInd w:val="0"/>
        <w:outlineLvl w:val="2"/>
        <w:rPr>
          <w:szCs w:val="22"/>
          <w:u w:val="single"/>
        </w:rPr>
      </w:pPr>
      <w:r w:rsidRPr="0040771E">
        <w:rPr>
          <w:szCs w:val="22"/>
          <w:u w:val="single"/>
        </w:rPr>
        <w:t>Mechanism of action</w:t>
      </w:r>
    </w:p>
    <w:p w:rsidR="007E2BC7" w:rsidRPr="0040771E" w14:paraId="57A0B094" w14:textId="77777777">
      <w:pPr>
        <w:autoSpaceDE w:val="0"/>
        <w:autoSpaceDN w:val="0"/>
        <w:adjustRightInd w:val="0"/>
        <w:rPr>
          <w:szCs w:val="22"/>
        </w:rPr>
      </w:pPr>
      <w:r w:rsidRPr="0040771E">
        <w:rPr>
          <w:szCs w:val="22"/>
        </w:rPr>
        <w:t>Daratumumab is an IgG1κ human monoclonal antibody (mAb) that binds to the CD38 protein expressed at a high level on the surface of multiple myeloma tumour cells, as well as other cell types and tissues at various levels. CD38 protein has multiple functions such as receptor mediated adhesion, signalling and enzymatic activity.</w:t>
      </w:r>
    </w:p>
    <w:p w:rsidR="007E2BC7" w:rsidRPr="0040771E" w14:paraId="4AA2FC8D" w14:textId="77777777">
      <w:pPr>
        <w:autoSpaceDE w:val="0"/>
        <w:autoSpaceDN w:val="0"/>
        <w:adjustRightInd w:val="0"/>
        <w:rPr>
          <w:szCs w:val="22"/>
        </w:rPr>
      </w:pPr>
    </w:p>
    <w:p w:rsidR="007E2BC7" w:rsidRPr="0040771E" w14:paraId="69BF7E71" w14:textId="77777777">
      <w:pPr>
        <w:autoSpaceDE w:val="0"/>
        <w:autoSpaceDN w:val="0"/>
        <w:adjustRightInd w:val="0"/>
        <w:rPr>
          <w:szCs w:val="22"/>
        </w:rPr>
      </w:pPr>
      <w:r w:rsidRPr="0040771E">
        <w:rPr>
          <w:szCs w:val="22"/>
        </w:rPr>
        <w:t xml:space="preserve">Daratumumab has been shown to potently inhibit the </w:t>
      </w:r>
      <w:r w:rsidRPr="0040771E">
        <w:rPr>
          <w:i/>
          <w:szCs w:val="22"/>
        </w:rPr>
        <w:t>in vivo</w:t>
      </w:r>
      <w:r w:rsidRPr="0040771E">
        <w:rPr>
          <w:szCs w:val="22"/>
        </w:rPr>
        <w:t xml:space="preserve"> growth of CD38</w:t>
      </w:r>
      <w:r w:rsidRPr="0040771E">
        <w:rPr>
          <w:szCs w:val="22"/>
        </w:rPr>
        <w:noBreakHyphen/>
        <w:t xml:space="preserve">expressing tumour cells. Based on </w:t>
      </w:r>
      <w:r w:rsidRPr="0040771E">
        <w:rPr>
          <w:i/>
          <w:szCs w:val="22"/>
        </w:rPr>
        <w:t>in vitro</w:t>
      </w:r>
      <w:r w:rsidRPr="0040771E">
        <w:rPr>
          <w:szCs w:val="22"/>
        </w:rPr>
        <w:t xml:space="preserve"> studies, daratumumab may utilise multiple effector functions, resulting in immune mediated tumour cell death. These studies suggest that daratumumab can induce tumour cell lysis through complement</w:t>
      </w:r>
      <w:r w:rsidRPr="0040771E">
        <w:rPr>
          <w:szCs w:val="22"/>
        </w:rPr>
        <w:noBreakHyphen/>
        <w:t>dependent cytotoxicity, antibody</w:t>
      </w:r>
      <w:r w:rsidRPr="0040771E">
        <w:rPr>
          <w:szCs w:val="22"/>
        </w:rPr>
        <w:noBreakHyphen/>
        <w:t>dependent cell</w:t>
      </w:r>
      <w:r w:rsidRPr="0040771E">
        <w:rPr>
          <w:szCs w:val="22"/>
        </w:rPr>
        <w:noBreakHyphen/>
        <w:t>mediated cytotoxicity, and antibody</w:t>
      </w:r>
      <w:r w:rsidRPr="0040771E">
        <w:rPr>
          <w:szCs w:val="22"/>
        </w:rPr>
        <w:noBreakHyphen/>
        <w:t>dependent cellular phagocytosis in malignancies expressing CD38. A subset of myeloid derived suppressor cells (CD38+MDSCs), regulatory T cells (CD38+T</w:t>
      </w:r>
      <w:r w:rsidRPr="0040771E">
        <w:rPr>
          <w:szCs w:val="22"/>
          <w:vertAlign w:val="subscript"/>
        </w:rPr>
        <w:t>regs</w:t>
      </w:r>
      <w:r w:rsidRPr="0040771E">
        <w:rPr>
          <w:szCs w:val="22"/>
        </w:rPr>
        <w:t>) and B cells (CD38+B</w:t>
      </w:r>
      <w:r w:rsidRPr="0040771E">
        <w:rPr>
          <w:szCs w:val="22"/>
          <w:vertAlign w:val="subscript"/>
        </w:rPr>
        <w:t>regs</w:t>
      </w:r>
      <w:r w:rsidRPr="0040771E">
        <w:rPr>
          <w:szCs w:val="22"/>
        </w:rPr>
        <w:t>) are decreased by daratumumab mediated cell lysis.</w:t>
      </w:r>
      <w:r w:rsidRPr="0040771E">
        <w:t xml:space="preserve"> </w:t>
      </w:r>
      <w:r w:rsidRPr="0040771E">
        <w:rPr>
          <w:szCs w:val="22"/>
        </w:rPr>
        <w:t>T cells (CD3+, CD4+, and CD8+) are also known to express CD38 depending on the stage of development and the level of activation. Significant increases in CD4+ and CD8+ T cell absolute counts, and percentages of lymphocytes, were observed with daratumumab treatment in peripheral whole blood and bone marrow. In addition, T</w:t>
      </w:r>
      <w:r w:rsidRPr="0040771E">
        <w:rPr>
          <w:szCs w:val="22"/>
        </w:rPr>
        <w:noBreakHyphen/>
        <w:t>cell receptor DNA sequencing verified that T</w:t>
      </w:r>
      <w:r w:rsidRPr="0040771E">
        <w:rPr>
          <w:szCs w:val="22"/>
        </w:rPr>
        <w:noBreakHyphen/>
        <w:t>cell clonality was increased with daratumumab treatment, indicating immune modulatory effects that may contribute to clinical response.</w:t>
      </w:r>
    </w:p>
    <w:p w:rsidR="007E2BC7" w:rsidRPr="0040771E" w14:paraId="7262B15B" w14:textId="77777777">
      <w:pPr>
        <w:autoSpaceDE w:val="0"/>
        <w:autoSpaceDN w:val="0"/>
        <w:adjustRightInd w:val="0"/>
        <w:rPr>
          <w:szCs w:val="22"/>
        </w:rPr>
      </w:pPr>
    </w:p>
    <w:p w:rsidR="007E2BC7" w:rsidRPr="0040771E" w14:paraId="4F3AD702" w14:textId="77777777">
      <w:pPr>
        <w:autoSpaceDE w:val="0"/>
        <w:autoSpaceDN w:val="0"/>
        <w:adjustRightInd w:val="0"/>
        <w:rPr>
          <w:szCs w:val="22"/>
        </w:rPr>
      </w:pPr>
      <w:r w:rsidRPr="0040771E">
        <w:rPr>
          <w:szCs w:val="22"/>
        </w:rPr>
        <w:t xml:space="preserve">Daratumumab induced apoptosis </w:t>
      </w:r>
      <w:r w:rsidRPr="0040771E">
        <w:rPr>
          <w:i/>
          <w:szCs w:val="22"/>
        </w:rPr>
        <w:t>in vitro</w:t>
      </w:r>
      <w:r w:rsidRPr="0040771E">
        <w:rPr>
          <w:szCs w:val="22"/>
        </w:rPr>
        <w:t xml:space="preserve"> after Fc mediated cross</w:t>
      </w:r>
      <w:r w:rsidRPr="0040771E">
        <w:rPr>
          <w:szCs w:val="22"/>
        </w:rPr>
        <w:noBreakHyphen/>
        <w:t xml:space="preserve">linking. In addition, daratumumab modulated CD38 enzymatic activity, inhibiting the cyclase enzyme activity and stimulating the hydrolase activity. The significance of these </w:t>
      </w:r>
      <w:r w:rsidRPr="0040771E">
        <w:rPr>
          <w:i/>
          <w:szCs w:val="22"/>
        </w:rPr>
        <w:t>in vitro</w:t>
      </w:r>
      <w:r w:rsidRPr="0040771E">
        <w:rPr>
          <w:szCs w:val="22"/>
        </w:rPr>
        <w:t xml:space="preserve"> effects in a clinical setting, and the implications on tumour growth, are not well</w:t>
      </w:r>
      <w:r w:rsidRPr="0040771E">
        <w:rPr>
          <w:szCs w:val="22"/>
        </w:rPr>
        <w:noBreakHyphen/>
        <w:t>understood.</w:t>
      </w:r>
    </w:p>
    <w:p w:rsidR="007E2BC7" w:rsidRPr="0040771E" w14:paraId="1F5757BF" w14:textId="77777777">
      <w:pPr>
        <w:autoSpaceDE w:val="0"/>
        <w:autoSpaceDN w:val="0"/>
        <w:adjustRightInd w:val="0"/>
        <w:rPr>
          <w:szCs w:val="22"/>
        </w:rPr>
      </w:pPr>
    </w:p>
    <w:p w:rsidR="007E2BC7" w:rsidRPr="0040771E" w14:paraId="74CE0310" w14:textId="77777777">
      <w:pPr>
        <w:keepNext/>
        <w:autoSpaceDE w:val="0"/>
        <w:autoSpaceDN w:val="0"/>
        <w:adjustRightInd w:val="0"/>
        <w:outlineLvl w:val="2"/>
        <w:rPr>
          <w:szCs w:val="22"/>
          <w:u w:val="single"/>
        </w:rPr>
      </w:pPr>
      <w:r w:rsidRPr="0040771E">
        <w:rPr>
          <w:szCs w:val="22"/>
          <w:u w:val="single"/>
        </w:rPr>
        <w:t>Pharmacodynamic effects</w:t>
      </w:r>
    </w:p>
    <w:p w:rsidR="007E2BC7" w:rsidRPr="0040771E" w14:paraId="1E58845C" w14:textId="77777777">
      <w:pPr>
        <w:keepNext/>
        <w:autoSpaceDE w:val="0"/>
        <w:autoSpaceDN w:val="0"/>
        <w:adjustRightInd w:val="0"/>
        <w:rPr>
          <w:i/>
          <w:szCs w:val="22"/>
        </w:rPr>
      </w:pPr>
      <w:r w:rsidRPr="0040771E">
        <w:rPr>
          <w:i/>
          <w:szCs w:val="22"/>
        </w:rPr>
        <w:t>Natural killer (NK) cell and T</w:t>
      </w:r>
      <w:r w:rsidRPr="0040771E">
        <w:rPr>
          <w:i/>
          <w:szCs w:val="22"/>
        </w:rPr>
        <w:noBreakHyphen/>
        <w:t>cell count</w:t>
      </w:r>
    </w:p>
    <w:p w:rsidR="007E2BC7" w:rsidRPr="0040771E" w14:paraId="44DA8787" w14:textId="77777777">
      <w:pPr>
        <w:autoSpaceDE w:val="0"/>
        <w:autoSpaceDN w:val="0"/>
        <w:adjustRightInd w:val="0"/>
        <w:rPr>
          <w:szCs w:val="22"/>
        </w:rPr>
      </w:pPr>
      <w:r w:rsidRPr="0040771E">
        <w:rPr>
          <w:szCs w:val="22"/>
        </w:rPr>
        <w:t>NK cells are known to express high levels of CD38 and are susceptible to daratumumab mediated cell lysis. Decreases in absolute counts and percentages of total NK cells (CD16+CD56+) and activated (CD16+CD56</w:t>
      </w:r>
      <w:r w:rsidRPr="0040771E">
        <w:rPr>
          <w:szCs w:val="22"/>
          <w:vertAlign w:val="superscript"/>
        </w:rPr>
        <w:t>dim</w:t>
      </w:r>
      <w:r w:rsidRPr="0040771E">
        <w:rPr>
          <w:szCs w:val="22"/>
        </w:rPr>
        <w:t>) NK cells in peripheral whole blood and bone marrow were observed with daratumumab treatment. However, baseline levels of NK cells did not show an association with clinical response.</w:t>
      </w:r>
    </w:p>
    <w:p w:rsidR="007E2BC7" w:rsidRPr="0040771E" w14:paraId="0E8E122C" w14:textId="77777777"/>
    <w:p w:rsidR="007E2BC7" w:rsidRPr="0040771E" w14:paraId="7B5BEA70" w14:textId="77777777">
      <w:pPr>
        <w:keepNext/>
        <w:autoSpaceDE w:val="0"/>
        <w:autoSpaceDN w:val="0"/>
        <w:adjustRightInd w:val="0"/>
        <w:outlineLvl w:val="2"/>
        <w:rPr>
          <w:szCs w:val="22"/>
          <w:u w:val="single"/>
        </w:rPr>
      </w:pPr>
      <w:r w:rsidRPr="0040771E">
        <w:rPr>
          <w:szCs w:val="22"/>
          <w:u w:val="single"/>
        </w:rPr>
        <w:t>Immunogenicity</w:t>
      </w:r>
    </w:p>
    <w:p w:rsidR="007E2BC7" w:rsidRPr="0040771E" w14:paraId="103DBD55" w14:textId="77777777">
      <w:pPr>
        <w:autoSpaceDE w:val="0"/>
        <w:autoSpaceDN w:val="0"/>
        <w:adjustRightInd w:val="0"/>
        <w:rPr>
          <w:szCs w:val="22"/>
        </w:rPr>
      </w:pPr>
      <w:r w:rsidRPr="0040771E">
        <w:rPr>
          <w:szCs w:val="22"/>
        </w:rPr>
        <w:t>In patients treated with intravenous daratumumab in clinical studies, less than 1% of patients developed treatment-emergent anti-daratumumab antibodies</w:t>
      </w:r>
      <w:bookmarkEnd w:id="27"/>
      <w:r w:rsidRPr="0040771E">
        <w:rPr>
          <w:szCs w:val="22"/>
        </w:rPr>
        <w:t>.</w:t>
      </w:r>
    </w:p>
    <w:p w:rsidR="007E2BC7" w:rsidRPr="0040771E" w14:paraId="2B95160F" w14:textId="77777777">
      <w:pPr>
        <w:autoSpaceDE w:val="0"/>
        <w:autoSpaceDN w:val="0"/>
        <w:adjustRightInd w:val="0"/>
      </w:pPr>
    </w:p>
    <w:p w:rsidR="007E2BC7" w:rsidRPr="0040771E" w14:paraId="117C0F6D" w14:textId="77777777">
      <w:pPr>
        <w:keepNext/>
        <w:autoSpaceDE w:val="0"/>
        <w:autoSpaceDN w:val="0"/>
        <w:adjustRightInd w:val="0"/>
        <w:outlineLvl w:val="2"/>
        <w:rPr>
          <w:szCs w:val="22"/>
          <w:u w:val="single"/>
        </w:rPr>
      </w:pPr>
      <w:bookmarkStart w:id="28" w:name="_Hlk106047915"/>
      <w:r w:rsidRPr="0040771E">
        <w:rPr>
          <w:szCs w:val="22"/>
          <w:u w:val="single"/>
        </w:rPr>
        <w:t>Clinical efficacy and safety</w:t>
      </w:r>
    </w:p>
    <w:p w:rsidR="007E2BC7" w:rsidRPr="0040771E" w14:paraId="5F687122" w14:textId="77777777">
      <w:pPr>
        <w:keepNext/>
        <w:outlineLvl w:val="3"/>
        <w:rPr>
          <w:i/>
        </w:rPr>
      </w:pPr>
    </w:p>
    <w:p w:rsidR="007E2BC7" w:rsidRPr="0040771E" w14:paraId="44C90975" w14:textId="77777777">
      <w:pPr>
        <w:keepNext/>
        <w:outlineLvl w:val="3"/>
        <w:rPr>
          <w:i/>
          <w:u w:val="single"/>
        </w:rPr>
      </w:pPr>
      <w:r w:rsidRPr="0040771E">
        <w:rPr>
          <w:i/>
          <w:u w:val="single"/>
        </w:rPr>
        <w:t>Newly diagnosed multiple myeloma</w:t>
      </w:r>
    </w:p>
    <w:p w:rsidR="007E2BC7" w:rsidRPr="0040771E" w14:paraId="6F7C9AC1" w14:textId="77777777">
      <w:pPr>
        <w:rPr>
          <w:bCs/>
          <w:i/>
          <w:iCs/>
          <w:szCs w:val="22"/>
        </w:rPr>
      </w:pPr>
      <w:r w:rsidRPr="0040771E">
        <w:rPr>
          <w:i/>
          <w:iCs/>
        </w:rPr>
        <w:t xml:space="preserve">Combination treatment with </w:t>
      </w:r>
      <w:r w:rsidRPr="0040771E">
        <w:rPr>
          <w:bCs/>
          <w:i/>
          <w:iCs/>
          <w:szCs w:val="22"/>
        </w:rPr>
        <w:t>lenalidomide and dexamethasone in patients ineligible for autologous stem cell transplant</w:t>
      </w:r>
    </w:p>
    <w:p w:rsidR="007E2BC7" w:rsidRPr="0040771E" w14:paraId="1A49C25F" w14:textId="0807A0A2">
      <w:pPr>
        <w:rPr>
          <w:bCs/>
          <w:iCs/>
          <w:szCs w:val="22"/>
        </w:rPr>
      </w:pPr>
      <w:r w:rsidRPr="0040771E">
        <w:rPr>
          <w:bCs/>
          <w:iCs/>
          <w:szCs w:val="22"/>
        </w:rPr>
        <w:t xml:space="preserve">Study MMY3008, an open-label, randomised, active-controlled phase III study, compared treatment with </w:t>
      </w:r>
      <w:r w:rsidR="00E65908">
        <w:rPr>
          <w:bCs/>
          <w:iCs/>
          <w:szCs w:val="22"/>
        </w:rPr>
        <w:t>DARZALEX</w:t>
      </w:r>
      <w:r w:rsidRPr="0040771E">
        <w:rPr>
          <w:bCs/>
          <w:iCs/>
          <w:szCs w:val="22"/>
        </w:rPr>
        <w:t xml:space="preserve"> 16 mg/kg in combination with lenalidomide and low-dose dexamethasone (DRd) to treatment with lenalidomide and low-dose dexamethasone (Rd) in patients with newly diagnosed </w:t>
      </w:r>
      <w:r w:rsidRPr="0040771E">
        <w:rPr>
          <w:bCs/>
          <w:iCs/>
          <w:szCs w:val="22"/>
        </w:rPr>
        <w:t xml:space="preserve">multiple myeloma. Lenalidomide (25 mg once daily orally on days 1-21 of repeated 28-day [4-week] cycles) was given with low dose oral or intravenous dexamethasone 40 mg/week (or a reduced dose of 20 mg/week for patients &gt;75 years or body mass index [BMI] &lt;18.5). On </w:t>
      </w:r>
      <w:r w:rsidR="00E65908">
        <w:rPr>
          <w:bCs/>
          <w:iCs/>
          <w:szCs w:val="22"/>
        </w:rPr>
        <w:t>DARZALEX</w:t>
      </w:r>
      <w:r w:rsidRPr="0040771E">
        <w:rPr>
          <w:bCs/>
          <w:iCs/>
          <w:szCs w:val="22"/>
        </w:rPr>
        <w:t xml:space="preserve"> infusion days, the dexamethasone dose was given as a pre-infusion medicinal product. Dose adjustments for lenalidomide and dexamethasone were applied according to manufacturer’s prescribing information. Treatment was continued in both arms until disease progression or unacceptable toxicity.</w:t>
      </w:r>
    </w:p>
    <w:p w:rsidR="007E2BC7" w:rsidRPr="0040771E" w14:paraId="1AB26B7D" w14:textId="77777777">
      <w:pPr>
        <w:rPr>
          <w:bCs/>
          <w:iCs/>
          <w:szCs w:val="22"/>
        </w:rPr>
      </w:pPr>
    </w:p>
    <w:p w:rsidR="007E2BC7" w:rsidRPr="0040771E" w14:paraId="49D25DFF" w14:textId="34034059">
      <w:pPr>
        <w:rPr>
          <w:bCs/>
          <w:iCs/>
          <w:szCs w:val="22"/>
        </w:rPr>
      </w:pPr>
      <w:r w:rsidRPr="0040771E">
        <w:rPr>
          <w:bCs/>
          <w:iCs/>
          <w:szCs w:val="22"/>
        </w:rPr>
        <w:t>A total of 737 patients were randomised: 368 to the DRd arm and 369 to the Rd arm. The baseline demographic and disease characteristics were similar between the two treatment groups. The median age was 73 (range: 45-90) years, with 44% of the patients ≥</w:t>
      </w:r>
      <w:r w:rsidR="00447015">
        <w:rPr>
          <w:bCs/>
          <w:iCs/>
          <w:szCs w:val="22"/>
        </w:rPr>
        <w:t xml:space="preserve"> </w:t>
      </w:r>
      <w:r w:rsidRPr="0040771E">
        <w:rPr>
          <w:bCs/>
          <w:iCs/>
          <w:szCs w:val="22"/>
        </w:rPr>
        <w:t xml:space="preserve">75 years of age. The majority were white (92%), male (52%), 34% had an </w:t>
      </w:r>
      <w:r w:rsidRPr="0040771E">
        <w:t>Eastern Cooperative Oncology Group (</w:t>
      </w:r>
      <w:r w:rsidRPr="0040771E">
        <w:rPr>
          <w:bCs/>
          <w:iCs/>
          <w:szCs w:val="22"/>
        </w:rPr>
        <w:t>ECOG) performance score of 0, 49.5% had an ECOG performance score of 1</w:t>
      </w:r>
      <w:r w:rsidRPr="0040771E">
        <w:t xml:space="preserve"> and 17% had an ECOG performance score of ≥</w:t>
      </w:r>
      <w:r w:rsidR="00447015">
        <w:t xml:space="preserve"> </w:t>
      </w:r>
      <w:r w:rsidRPr="0040771E">
        <w:t>2</w:t>
      </w:r>
      <w:r w:rsidRPr="0040771E">
        <w:rPr>
          <w:bCs/>
          <w:iCs/>
          <w:szCs w:val="22"/>
        </w:rPr>
        <w:t xml:space="preserve">. Twenty-seven percent had </w:t>
      </w:r>
      <w:r w:rsidRPr="0040771E">
        <w:t>International Staging System (ISS)</w:t>
      </w:r>
      <w:r w:rsidRPr="0040771E">
        <w:rPr>
          <w:bCs/>
          <w:iCs/>
          <w:szCs w:val="22"/>
        </w:rPr>
        <w:t xml:space="preserve"> stage I, 43% had ISS stage II and 29% had ISS stage III disease. Efficacy was evaluated by progression free survival (PFS) based on International Myeloma Working Group (IMWG) criteria and overall survival (OS).</w:t>
      </w:r>
    </w:p>
    <w:p w:rsidR="007E2BC7" w:rsidRPr="0040771E" w14:paraId="266CD355" w14:textId="77777777">
      <w:pPr>
        <w:rPr>
          <w:bCs/>
          <w:iCs/>
          <w:szCs w:val="22"/>
        </w:rPr>
      </w:pPr>
    </w:p>
    <w:p w:rsidR="007E2BC7" w:rsidRPr="0040771E" w14:paraId="37F43999" w14:textId="77777777">
      <w:pPr>
        <w:rPr>
          <w:iCs/>
          <w:color w:val="000000"/>
        </w:rPr>
      </w:pPr>
      <w:r w:rsidRPr="0040771E">
        <w:rPr>
          <w:bCs/>
          <w:iCs/>
          <w:color w:val="000000"/>
          <w:szCs w:val="22"/>
        </w:rPr>
        <w:t>With a median follow-up of 28 months, the primary analysis of PFS in study MMY3008 showed an improvement in the DRd arm as compared to the Rd arm; the median PFS had not been reached in the DRd arm and was 31.9 months in the Rd arm (hazard ratio [HR]=0.56; 95% CI: 0.43, 0.73; p &lt; 0.0001), representing 44% reduction in the risk of disease progression or death in patients treated with DRd.</w:t>
      </w:r>
      <w:r w:rsidRPr="0040771E">
        <w:rPr>
          <w:iCs/>
          <w:color w:val="000000"/>
        </w:rPr>
        <w:t xml:space="preserve"> Results of an updated PFS analysis after a median follow-up of 64 months continued to show an improvement in PFS for patients in the DRd arm compared with the Rd arm. Median PFS was 61.9 months in the DRd arm and 34.4 months in the Rd arm (HR=0.55; 95% CI: 0.45, 0.67</w:t>
      </w:r>
      <w:r w:rsidRPr="0040771E">
        <w:rPr>
          <w:bCs/>
          <w:iCs/>
          <w:color w:val="000000"/>
          <w:szCs w:val="22"/>
        </w:rPr>
        <w:t>)</w:t>
      </w:r>
      <w:r w:rsidRPr="0040771E">
        <w:rPr>
          <w:iCs/>
          <w:color w:val="000000"/>
        </w:rPr>
        <w:t>.</w:t>
      </w:r>
    </w:p>
    <w:p w:rsidR="007E2BC7" w:rsidRPr="0040771E" w14:paraId="2F5274A1" w14:textId="77777777">
      <w:pPr>
        <w:rPr>
          <w:bCs/>
          <w:iCs/>
          <w:color w:val="000000"/>
          <w:szCs w:val="22"/>
        </w:rPr>
      </w:pPr>
    </w:p>
    <w:p w:rsidR="007E2BC7" w:rsidRPr="0040771E" w14:paraId="09511A5C" w14:textId="77777777">
      <w:pPr>
        <w:keepNext/>
        <w:rPr>
          <w:b/>
        </w:rPr>
      </w:pPr>
      <w:r w:rsidRPr="0040771E">
        <w:rPr>
          <w:b/>
        </w:rPr>
        <w:t>Figure 1:</w:t>
      </w:r>
      <w:r w:rsidRPr="0040771E">
        <w:rPr>
          <w:b/>
        </w:rPr>
        <w:tab/>
        <w:t>Kaplan-Meier curve of PFS in study MMY3008</w:t>
      </w:r>
    </w:p>
    <w:p w:rsidR="007E2BC7" w:rsidRPr="0040771E" w14:paraId="076CF50C" w14:textId="77777777">
      <w:pPr>
        <w:keepNext/>
        <w:rPr>
          <w:b/>
        </w:rPr>
      </w:pPr>
    </w:p>
    <w:p w:rsidR="007E2BC7" w:rsidRPr="0040771E" w14:paraId="7A01749E" w14:textId="77777777">
      <w:pPr>
        <w:keepNext/>
        <w:rPr>
          <w:b/>
        </w:rPr>
      </w:pPr>
    </w:p>
    <w:p w:rsidR="007E2BC7" w:rsidRPr="0040771E" w14:paraId="24E3D87F" w14:textId="77777777">
      <w:pPr>
        <w:keepNext/>
      </w:pPr>
      <w:r w:rsidRPr="0040771E">
        <w:drawing>
          <wp:inline distT="0" distB="0" distL="0" distR="0">
            <wp:extent cx="5438775" cy="3743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307163" name="Picture 6"/>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438775" cy="3743325"/>
                    </a:xfrm>
                    <a:prstGeom prst="rect">
                      <a:avLst/>
                    </a:prstGeom>
                    <a:noFill/>
                    <a:ln>
                      <a:noFill/>
                    </a:ln>
                  </pic:spPr>
                </pic:pic>
              </a:graphicData>
            </a:graphic>
          </wp:inline>
        </w:drawing>
      </w:r>
    </w:p>
    <w:p w:rsidR="007E2BC7" w:rsidRPr="0040771E" w14:paraId="53F546CB" w14:textId="77777777">
      <w:pPr>
        <w:rPr>
          <w:bCs/>
          <w:iCs/>
          <w:szCs w:val="22"/>
        </w:rPr>
      </w:pPr>
    </w:p>
    <w:p w:rsidR="007E2BC7" w:rsidRPr="0040771E" w14:paraId="03A9BE9B" w14:textId="77777777">
      <w:pPr>
        <w:rPr>
          <w:bCs/>
          <w:iCs/>
          <w:szCs w:val="22"/>
        </w:rPr>
      </w:pPr>
    </w:p>
    <w:p w:rsidR="007E2BC7" w:rsidRPr="0040771E" w14:paraId="2201E028" w14:textId="531C4C0B">
      <w:pPr>
        <w:rPr>
          <w:bCs/>
          <w:iCs/>
          <w:color w:val="000000"/>
          <w:szCs w:val="22"/>
        </w:rPr>
      </w:pPr>
      <w:r w:rsidRPr="0040771E">
        <w:rPr>
          <w:bCs/>
          <w:iCs/>
          <w:color w:val="000000"/>
          <w:szCs w:val="22"/>
        </w:rPr>
        <w:t xml:space="preserve">With a median follow-up of 56 months, DRd has shown an OS advantage over the Rd arm </w:t>
      </w:r>
      <w:r w:rsidRPr="0040771E">
        <w:rPr>
          <w:color w:val="000000"/>
        </w:rPr>
        <w:t xml:space="preserve">(HR=0.68; 95% CI: 0.53, 0.86; p=0.0013). </w:t>
      </w:r>
      <w:r w:rsidRPr="0040771E">
        <w:rPr>
          <w:bCs/>
          <w:iCs/>
          <w:color w:val="000000"/>
          <w:szCs w:val="22"/>
        </w:rPr>
        <w:t xml:space="preserve">Results of an updated OS analysis after a median of </w:t>
      </w:r>
      <w:r w:rsidR="009F4BEA">
        <w:rPr>
          <w:bCs/>
          <w:iCs/>
          <w:color w:val="000000"/>
          <w:szCs w:val="22"/>
        </w:rPr>
        <w:t>89</w:t>
      </w:r>
      <w:r w:rsidRPr="0040771E">
        <w:rPr>
          <w:bCs/>
          <w:iCs/>
          <w:color w:val="000000"/>
          <w:szCs w:val="22"/>
        </w:rPr>
        <w:t xml:space="preserve"> months continued to show an improvement in OS for patients in the DRd arm compared to the Rd arm. Median OS was </w:t>
      </w:r>
      <w:r w:rsidR="009F4BEA">
        <w:rPr>
          <w:bCs/>
          <w:iCs/>
          <w:color w:val="000000"/>
          <w:szCs w:val="22"/>
        </w:rPr>
        <w:t>90.3 months</w:t>
      </w:r>
      <w:r w:rsidRPr="0040771E">
        <w:rPr>
          <w:bCs/>
          <w:iCs/>
          <w:color w:val="000000"/>
          <w:szCs w:val="22"/>
        </w:rPr>
        <w:t xml:space="preserve"> in the DRd arm and was </w:t>
      </w:r>
      <w:r w:rsidR="009F4BEA">
        <w:rPr>
          <w:bCs/>
          <w:iCs/>
          <w:color w:val="000000"/>
          <w:szCs w:val="22"/>
        </w:rPr>
        <w:t>64.1</w:t>
      </w:r>
      <w:r w:rsidRPr="0040771E">
        <w:rPr>
          <w:bCs/>
          <w:iCs/>
          <w:color w:val="000000"/>
          <w:szCs w:val="22"/>
        </w:rPr>
        <w:t> months in the Rd arm (HR=0.</w:t>
      </w:r>
      <w:r w:rsidR="009F4BEA">
        <w:rPr>
          <w:bCs/>
          <w:iCs/>
          <w:color w:val="000000"/>
          <w:szCs w:val="22"/>
        </w:rPr>
        <w:t>67</w:t>
      </w:r>
      <w:r w:rsidRPr="0040771E">
        <w:rPr>
          <w:bCs/>
          <w:iCs/>
          <w:color w:val="000000"/>
          <w:szCs w:val="22"/>
        </w:rPr>
        <w:t>; 95% CI: 0.</w:t>
      </w:r>
      <w:r w:rsidR="009F4BEA">
        <w:rPr>
          <w:bCs/>
          <w:iCs/>
          <w:color w:val="000000"/>
          <w:szCs w:val="22"/>
        </w:rPr>
        <w:t>55</w:t>
      </w:r>
      <w:r w:rsidRPr="0040771E">
        <w:rPr>
          <w:bCs/>
          <w:iCs/>
          <w:color w:val="000000"/>
          <w:szCs w:val="22"/>
        </w:rPr>
        <w:t>, 0.</w:t>
      </w:r>
      <w:r w:rsidR="009F4BEA">
        <w:rPr>
          <w:bCs/>
          <w:iCs/>
          <w:color w:val="000000"/>
          <w:szCs w:val="22"/>
        </w:rPr>
        <w:t>82</w:t>
      </w:r>
      <w:r w:rsidRPr="0040771E">
        <w:rPr>
          <w:bCs/>
          <w:iCs/>
          <w:color w:val="000000"/>
          <w:szCs w:val="22"/>
        </w:rPr>
        <w:t>).</w:t>
      </w:r>
    </w:p>
    <w:p w:rsidR="007E2BC7" w:rsidRPr="0040771E" w14:paraId="3D011993" w14:textId="77777777">
      <w:pPr>
        <w:rPr>
          <w:bCs/>
          <w:iCs/>
          <w:color w:val="000000"/>
          <w:szCs w:val="22"/>
        </w:rPr>
      </w:pPr>
    </w:p>
    <w:p w:rsidR="007E2BC7" w14:paraId="6E3EFB56" w14:textId="77777777">
      <w:pPr>
        <w:keepNext/>
        <w:ind w:left="1134" w:hanging="1134"/>
        <w:rPr>
          <w:b/>
          <w:bCs/>
          <w:iCs/>
          <w:color w:val="000000"/>
          <w:szCs w:val="22"/>
        </w:rPr>
      </w:pPr>
      <w:r w:rsidRPr="0040771E">
        <w:rPr>
          <w:b/>
          <w:bCs/>
          <w:iCs/>
          <w:color w:val="000000"/>
          <w:szCs w:val="22"/>
        </w:rPr>
        <w:t>Figure 2:</w:t>
      </w:r>
      <w:r w:rsidRPr="0040771E">
        <w:rPr>
          <w:b/>
          <w:bCs/>
          <w:iCs/>
          <w:color w:val="000000"/>
          <w:szCs w:val="22"/>
        </w:rPr>
        <w:tab/>
        <w:t>Kaplan-Meier curve of OS in study MMY3008</w:t>
      </w:r>
    </w:p>
    <w:p w:rsidR="009F4BEA" w:rsidRPr="0040771E" w14:paraId="60702EAE" w14:textId="77777777">
      <w:pPr>
        <w:keepNext/>
        <w:ind w:left="1134" w:hanging="1134"/>
        <w:rPr>
          <w:b/>
          <w:bCs/>
          <w:iCs/>
          <w:color w:val="000000"/>
          <w:szCs w:val="22"/>
        </w:rPr>
      </w:pPr>
    </w:p>
    <w:p w:rsidR="007E2BC7" w:rsidRPr="0040771E" w14:paraId="013CF168" w14:textId="7342E355">
      <w:pPr>
        <w:keepNext/>
        <w:ind w:left="1134" w:hanging="1134"/>
        <w:rPr>
          <w:b/>
          <w:bCs/>
          <w:iCs/>
          <w:color w:val="000000"/>
          <w:szCs w:val="22"/>
        </w:rPr>
      </w:pPr>
      <w:r>
        <w:rPr>
          <w:noProof w:val="0"/>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5pt;height:388.5pt">
            <v:imagedata r:id="rId13" r:href="rId14" o:title=""/>
          </v:shape>
        </w:pict>
      </w:r>
    </w:p>
    <w:p w:rsidR="007E2BC7" w:rsidRPr="0040771E" w14:paraId="1A05CA45" w14:textId="7F9E2C2A">
      <w:pPr>
        <w:rPr>
          <w:color w:val="000000"/>
        </w:rPr>
      </w:pPr>
    </w:p>
    <w:p w:rsidR="007E2BC7" w:rsidRPr="0040771E" w14:paraId="6B2D8857" w14:textId="77777777">
      <w:pPr>
        <w:rPr>
          <w:bCs/>
          <w:iCs/>
          <w:color w:val="000000"/>
          <w:szCs w:val="22"/>
        </w:rPr>
      </w:pPr>
    </w:p>
    <w:p w:rsidR="007E2BC7" w:rsidRPr="0040771E" w14:paraId="4CD45DB0" w14:textId="77777777">
      <w:pPr>
        <w:rPr>
          <w:bCs/>
          <w:iCs/>
          <w:szCs w:val="22"/>
        </w:rPr>
      </w:pPr>
    </w:p>
    <w:p w:rsidR="007E2BC7" w:rsidRPr="0040771E" w14:paraId="0A1B16B6" w14:textId="77777777">
      <w:pPr>
        <w:rPr>
          <w:bCs/>
          <w:iCs/>
          <w:szCs w:val="22"/>
        </w:rPr>
      </w:pPr>
      <w:r w:rsidRPr="0040771E">
        <w:rPr>
          <w:bCs/>
          <w:iCs/>
          <w:szCs w:val="22"/>
        </w:rPr>
        <w:t>Additional efficacy results from study MMY3008 are presented in table 7 below.</w:t>
      </w:r>
    </w:p>
    <w:p w:rsidR="007E2BC7" w:rsidRPr="0040771E" w14:paraId="4C42FB90" w14:textId="77777777">
      <w:pPr>
        <w:rPr>
          <w:bCs/>
          <w:iCs/>
          <w:szCs w:val="22"/>
        </w:rPr>
      </w:pPr>
      <w:bookmarkStart w:id="29" w:name="_Hlk529864351"/>
      <w:bookmarkStart w:id="30" w:name="_Hlk52986421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33"/>
        <w:gridCol w:w="2176"/>
        <w:gridCol w:w="2178"/>
      </w:tblGrid>
      <w:tr w14:paraId="2E30176D"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9072" w:type="dxa"/>
            <w:gridSpan w:val="3"/>
            <w:tcBorders>
              <w:top w:val="nil"/>
              <w:left w:val="nil"/>
              <w:bottom w:val="single" w:sz="4" w:space="0" w:color="auto"/>
              <w:right w:val="nil"/>
            </w:tcBorders>
          </w:tcPr>
          <w:p w:rsidR="007E2BC7" w:rsidRPr="0040771E" w14:paraId="40B9AD09" w14:textId="77777777">
            <w:pPr>
              <w:keepNext/>
              <w:outlineLvl w:val="0"/>
              <w:rPr>
                <w:b/>
              </w:rPr>
            </w:pPr>
            <w:bookmarkStart w:id="31" w:name="_Hlk529864015"/>
            <w:r w:rsidRPr="0040771E">
              <w:rPr>
                <w:b/>
              </w:rPr>
              <w:t>Table </w:t>
            </w:r>
            <w:r w:rsidRPr="0040771E">
              <w:rPr>
                <w:b/>
                <w:bCs/>
                <w:iCs/>
                <w:szCs w:val="22"/>
              </w:rPr>
              <w:t>7</w:t>
            </w:r>
            <w:r w:rsidRPr="0040771E">
              <w:rPr>
                <w:b/>
              </w:rPr>
              <w:t>:</w:t>
            </w:r>
            <w:r w:rsidRPr="0040771E">
              <w:rPr>
                <w:b/>
              </w:rPr>
              <w:tab/>
            </w:r>
            <w:r w:rsidRPr="0040771E">
              <w:rPr>
                <w:b/>
                <w:bCs/>
                <w:iCs/>
                <w:szCs w:val="22"/>
              </w:rPr>
              <w:t xml:space="preserve">Additional efficacy results from </w:t>
            </w:r>
            <w:r w:rsidRPr="0040771E">
              <w:rPr>
                <w:b/>
              </w:rPr>
              <w:t>study MMY3008</w:t>
            </w:r>
            <w:r w:rsidRPr="0040771E">
              <w:rPr>
                <w:b/>
                <w:vertAlign w:val="superscript"/>
              </w:rPr>
              <w:t>a</w:t>
            </w:r>
          </w:p>
        </w:tc>
      </w:tr>
      <w:tr w14:paraId="44CC7E47" w14:textId="77777777">
        <w:tblPrEx>
          <w:tblW w:w="5000" w:type="pct"/>
          <w:jc w:val="center"/>
          <w:tblLook w:val="04A0"/>
        </w:tblPrEx>
        <w:trPr>
          <w:cantSplit/>
          <w:jc w:val="center"/>
        </w:trPr>
        <w:tc>
          <w:tcPr>
            <w:tcW w:w="4818" w:type="dxa"/>
            <w:tcBorders>
              <w:bottom w:val="single" w:sz="4" w:space="0" w:color="auto"/>
            </w:tcBorders>
          </w:tcPr>
          <w:p w:rsidR="007E2BC7" w:rsidRPr="0040771E" w14:paraId="05FF6C52" w14:textId="77777777">
            <w:pPr>
              <w:keepNext/>
              <w:outlineLvl w:val="0"/>
              <w:rPr>
                <w:b/>
                <w:bCs/>
                <w:iCs/>
                <w:sz w:val="20"/>
              </w:rPr>
            </w:pPr>
          </w:p>
        </w:tc>
        <w:tc>
          <w:tcPr>
            <w:tcW w:w="2126" w:type="dxa"/>
            <w:tcBorders>
              <w:bottom w:val="single" w:sz="4" w:space="0" w:color="auto"/>
            </w:tcBorders>
          </w:tcPr>
          <w:p w:rsidR="007E2BC7" w:rsidRPr="0040771E" w14:paraId="32EB3059" w14:textId="77777777">
            <w:pPr>
              <w:keepNext/>
              <w:outlineLvl w:val="0"/>
              <w:rPr>
                <w:b/>
                <w:bCs/>
                <w:iCs/>
                <w:sz w:val="20"/>
              </w:rPr>
            </w:pPr>
            <w:r w:rsidRPr="0040771E">
              <w:rPr>
                <w:b/>
                <w:sz w:val="20"/>
              </w:rPr>
              <w:t>DRd (n=368)</w:t>
            </w:r>
          </w:p>
        </w:tc>
        <w:tc>
          <w:tcPr>
            <w:tcW w:w="2128" w:type="dxa"/>
            <w:tcBorders>
              <w:bottom w:val="single" w:sz="4" w:space="0" w:color="auto"/>
            </w:tcBorders>
          </w:tcPr>
          <w:p w:rsidR="007E2BC7" w:rsidRPr="0040771E" w14:paraId="03AAA6C5" w14:textId="77777777">
            <w:pPr>
              <w:keepNext/>
              <w:outlineLvl w:val="0"/>
              <w:rPr>
                <w:b/>
                <w:bCs/>
                <w:iCs/>
                <w:sz w:val="20"/>
              </w:rPr>
            </w:pPr>
            <w:r w:rsidRPr="0040771E">
              <w:rPr>
                <w:b/>
                <w:sz w:val="20"/>
              </w:rPr>
              <w:t>Rd (n=369)</w:t>
            </w:r>
          </w:p>
        </w:tc>
      </w:tr>
      <w:tr w14:paraId="7D018D94" w14:textId="77777777">
        <w:tblPrEx>
          <w:tblW w:w="5000" w:type="pct"/>
          <w:jc w:val="center"/>
          <w:tblLook w:val="04A0"/>
        </w:tblPrEx>
        <w:trPr>
          <w:cantSplit/>
          <w:jc w:val="center"/>
        </w:trPr>
        <w:tc>
          <w:tcPr>
            <w:tcW w:w="4818" w:type="dxa"/>
            <w:tcBorders>
              <w:top w:val="single" w:sz="4" w:space="0" w:color="auto"/>
              <w:left w:val="single" w:sz="4" w:space="0" w:color="auto"/>
              <w:bottom w:val="nil"/>
              <w:right w:val="single" w:sz="4" w:space="0" w:color="auto"/>
            </w:tcBorders>
          </w:tcPr>
          <w:p w:rsidR="007E2BC7" w:rsidRPr="0040771E" w14:paraId="741531CC" w14:textId="77777777">
            <w:pPr>
              <w:keepNext/>
              <w:outlineLvl w:val="0"/>
              <w:rPr>
                <w:sz w:val="20"/>
              </w:rPr>
            </w:pPr>
            <w:r w:rsidRPr="0040771E">
              <w:rPr>
                <w:sz w:val="20"/>
              </w:rPr>
              <w:t>Overall response (sCR+CR+VGPR+PR) n(%)</w:t>
            </w:r>
            <w:r w:rsidRPr="0040771E">
              <w:rPr>
                <w:sz w:val="20"/>
                <w:vertAlign w:val="superscript"/>
              </w:rPr>
              <w:t>a</w:t>
            </w:r>
          </w:p>
        </w:tc>
        <w:tc>
          <w:tcPr>
            <w:tcW w:w="2126" w:type="dxa"/>
          </w:tcPr>
          <w:p w:rsidR="007E2BC7" w:rsidRPr="0040771E" w14:paraId="6C244E4D" w14:textId="77777777">
            <w:pPr>
              <w:keepNext/>
              <w:outlineLvl w:val="0"/>
              <w:rPr>
                <w:bCs/>
                <w:iCs/>
                <w:sz w:val="20"/>
              </w:rPr>
            </w:pPr>
            <w:r w:rsidRPr="0040771E">
              <w:rPr>
                <w:sz w:val="20"/>
              </w:rPr>
              <w:t>342 (92.9%)</w:t>
            </w:r>
          </w:p>
        </w:tc>
        <w:tc>
          <w:tcPr>
            <w:tcW w:w="2128" w:type="dxa"/>
          </w:tcPr>
          <w:p w:rsidR="007E2BC7" w:rsidRPr="0040771E" w14:paraId="47DCCF17" w14:textId="77777777">
            <w:pPr>
              <w:keepNext/>
              <w:outlineLvl w:val="0"/>
              <w:rPr>
                <w:bCs/>
                <w:iCs/>
                <w:sz w:val="20"/>
              </w:rPr>
            </w:pPr>
            <w:r w:rsidRPr="0040771E">
              <w:rPr>
                <w:sz w:val="20"/>
              </w:rPr>
              <w:t>300 (81.3%)</w:t>
            </w:r>
          </w:p>
        </w:tc>
      </w:tr>
      <w:tr w14:paraId="4D289F25" w14:textId="77777777">
        <w:tblPrEx>
          <w:tblW w:w="5000" w:type="pct"/>
          <w:jc w:val="center"/>
          <w:tblLook w:val="04A0"/>
        </w:tblPrEx>
        <w:trPr>
          <w:cantSplit/>
          <w:jc w:val="center"/>
        </w:trPr>
        <w:tc>
          <w:tcPr>
            <w:tcW w:w="4818" w:type="dxa"/>
            <w:tcBorders>
              <w:top w:val="nil"/>
              <w:left w:val="single" w:sz="4" w:space="0" w:color="auto"/>
              <w:bottom w:val="nil"/>
              <w:right w:val="single" w:sz="4" w:space="0" w:color="auto"/>
            </w:tcBorders>
          </w:tcPr>
          <w:p w:rsidR="007E2BC7" w:rsidRPr="0040771E" w14:paraId="3FA15A01" w14:textId="77777777">
            <w:pPr>
              <w:keepNext/>
              <w:outlineLvl w:val="0"/>
              <w:rPr>
                <w:sz w:val="20"/>
              </w:rPr>
            </w:pPr>
            <w:r w:rsidRPr="0040771E">
              <w:rPr>
                <w:sz w:val="20"/>
              </w:rPr>
              <w:t>p-value</w:t>
            </w:r>
            <w:r w:rsidRPr="0040771E">
              <w:rPr>
                <w:sz w:val="20"/>
                <w:vertAlign w:val="superscript"/>
              </w:rPr>
              <w:t>b</w:t>
            </w:r>
          </w:p>
        </w:tc>
        <w:tc>
          <w:tcPr>
            <w:tcW w:w="2126" w:type="dxa"/>
            <w:tcBorders>
              <w:bottom w:val="single" w:sz="4" w:space="0" w:color="auto"/>
              <w:right w:val="single" w:sz="4" w:space="0" w:color="auto"/>
            </w:tcBorders>
          </w:tcPr>
          <w:p w:rsidR="007E2BC7" w:rsidRPr="0040771E" w14:paraId="2C06C04A" w14:textId="77777777">
            <w:pPr>
              <w:keepNext/>
              <w:outlineLvl w:val="0"/>
              <w:rPr>
                <w:bCs/>
                <w:iCs/>
                <w:sz w:val="20"/>
              </w:rPr>
            </w:pPr>
            <w:r w:rsidRPr="0040771E">
              <w:rPr>
                <w:sz w:val="20"/>
              </w:rPr>
              <w:t>&lt;0.0001</w:t>
            </w:r>
          </w:p>
        </w:tc>
        <w:tc>
          <w:tcPr>
            <w:tcW w:w="2128" w:type="dxa"/>
            <w:tcBorders>
              <w:bottom w:val="single" w:sz="4" w:space="0" w:color="auto"/>
            </w:tcBorders>
          </w:tcPr>
          <w:p w:rsidR="007E2BC7" w:rsidRPr="0040771E" w14:paraId="1A0BAE40" w14:textId="77777777">
            <w:pPr>
              <w:keepNext/>
              <w:outlineLvl w:val="0"/>
              <w:rPr>
                <w:bCs/>
                <w:iCs/>
                <w:sz w:val="20"/>
              </w:rPr>
            </w:pPr>
          </w:p>
        </w:tc>
      </w:tr>
      <w:tr w14:paraId="5185CC5C" w14:textId="77777777">
        <w:tblPrEx>
          <w:tblW w:w="5000" w:type="pct"/>
          <w:jc w:val="center"/>
          <w:tblLook w:val="04A0"/>
        </w:tblPrEx>
        <w:trPr>
          <w:cantSplit/>
          <w:jc w:val="center"/>
        </w:trPr>
        <w:tc>
          <w:tcPr>
            <w:tcW w:w="4818" w:type="dxa"/>
            <w:tcBorders>
              <w:top w:val="nil"/>
              <w:left w:val="single" w:sz="4" w:space="0" w:color="auto"/>
              <w:bottom w:val="nil"/>
              <w:right w:val="single" w:sz="4" w:space="0" w:color="auto"/>
            </w:tcBorders>
          </w:tcPr>
          <w:p w:rsidR="007E2BC7" w:rsidRPr="0040771E" w14:paraId="2A6E3CBD" w14:textId="77777777">
            <w:pPr>
              <w:keepNext/>
              <w:ind w:left="567"/>
              <w:outlineLvl w:val="0"/>
              <w:rPr>
                <w:bCs/>
                <w:iCs/>
                <w:sz w:val="20"/>
              </w:rPr>
            </w:pPr>
            <w:r w:rsidRPr="0040771E">
              <w:rPr>
                <w:sz w:val="20"/>
              </w:rPr>
              <w:t xml:space="preserve">Stringent complete response (sCR) </w:t>
            </w:r>
          </w:p>
        </w:tc>
        <w:tc>
          <w:tcPr>
            <w:tcW w:w="2126" w:type="dxa"/>
            <w:tcBorders>
              <w:top w:val="single" w:sz="4" w:space="0" w:color="auto"/>
              <w:left w:val="nil"/>
              <w:bottom w:val="single" w:sz="4" w:space="0" w:color="auto"/>
              <w:right w:val="single" w:sz="4" w:space="0" w:color="auto"/>
            </w:tcBorders>
            <w:shd w:val="clear" w:color="auto" w:fill="FFFFFF"/>
            <w:vAlign w:val="bottom"/>
          </w:tcPr>
          <w:p w:rsidR="007E2BC7" w:rsidRPr="0040771E" w14:paraId="621CE085" w14:textId="77777777">
            <w:pPr>
              <w:keepNext/>
              <w:outlineLvl w:val="0"/>
              <w:rPr>
                <w:bCs/>
                <w:iCs/>
                <w:sz w:val="20"/>
              </w:rPr>
            </w:pPr>
            <w:r w:rsidRPr="0040771E">
              <w:rPr>
                <w:sz w:val="20"/>
              </w:rPr>
              <w:t>112 (30.4%)</w:t>
            </w:r>
          </w:p>
        </w:tc>
        <w:tc>
          <w:tcPr>
            <w:tcW w:w="2128" w:type="dxa"/>
            <w:tcBorders>
              <w:top w:val="single" w:sz="4" w:space="0" w:color="auto"/>
              <w:left w:val="single" w:sz="4" w:space="0" w:color="auto"/>
              <w:bottom w:val="single" w:sz="4" w:space="0" w:color="auto"/>
              <w:right w:val="single" w:sz="4" w:space="0" w:color="auto"/>
            </w:tcBorders>
            <w:shd w:val="clear" w:color="auto" w:fill="FFFFFF"/>
            <w:vAlign w:val="bottom"/>
          </w:tcPr>
          <w:p w:rsidR="007E2BC7" w:rsidRPr="0040771E" w14:paraId="08DE418F" w14:textId="77777777">
            <w:pPr>
              <w:keepNext/>
              <w:outlineLvl w:val="0"/>
              <w:rPr>
                <w:bCs/>
                <w:iCs/>
                <w:sz w:val="20"/>
              </w:rPr>
            </w:pPr>
            <w:r w:rsidRPr="0040771E">
              <w:rPr>
                <w:sz w:val="20"/>
              </w:rPr>
              <w:t>46 (12.5%)</w:t>
            </w:r>
          </w:p>
        </w:tc>
      </w:tr>
      <w:tr w14:paraId="0B1F1B53" w14:textId="77777777">
        <w:tblPrEx>
          <w:tblW w:w="5000" w:type="pct"/>
          <w:jc w:val="center"/>
          <w:tblLook w:val="04A0"/>
        </w:tblPrEx>
        <w:trPr>
          <w:cantSplit/>
          <w:jc w:val="center"/>
        </w:trPr>
        <w:tc>
          <w:tcPr>
            <w:tcW w:w="4818" w:type="dxa"/>
            <w:tcBorders>
              <w:top w:val="nil"/>
              <w:left w:val="single" w:sz="4" w:space="0" w:color="auto"/>
              <w:bottom w:val="nil"/>
              <w:right w:val="single" w:sz="4" w:space="0" w:color="auto"/>
            </w:tcBorders>
          </w:tcPr>
          <w:p w:rsidR="007E2BC7" w:rsidRPr="0040771E" w14:paraId="14FDD538" w14:textId="77777777">
            <w:pPr>
              <w:keepNext/>
              <w:ind w:left="567"/>
              <w:outlineLvl w:val="0"/>
              <w:rPr>
                <w:bCs/>
                <w:iCs/>
                <w:sz w:val="20"/>
              </w:rPr>
            </w:pPr>
            <w:r w:rsidRPr="0040771E">
              <w:rPr>
                <w:sz w:val="20"/>
              </w:rPr>
              <w:t xml:space="preserve">Complete response (CR) </w:t>
            </w:r>
          </w:p>
        </w:tc>
        <w:tc>
          <w:tcPr>
            <w:tcW w:w="2126" w:type="dxa"/>
            <w:tcBorders>
              <w:top w:val="single" w:sz="4" w:space="0" w:color="auto"/>
              <w:left w:val="nil"/>
              <w:bottom w:val="single" w:sz="4" w:space="0" w:color="auto"/>
              <w:right w:val="single" w:sz="4" w:space="0" w:color="auto"/>
            </w:tcBorders>
            <w:shd w:val="clear" w:color="auto" w:fill="FFFFFF"/>
            <w:vAlign w:val="bottom"/>
          </w:tcPr>
          <w:p w:rsidR="007E2BC7" w:rsidRPr="0040771E" w14:paraId="68E9791E" w14:textId="77777777">
            <w:pPr>
              <w:keepNext/>
              <w:outlineLvl w:val="0"/>
              <w:rPr>
                <w:bCs/>
                <w:iCs/>
                <w:sz w:val="20"/>
              </w:rPr>
            </w:pPr>
            <w:r w:rsidRPr="0040771E">
              <w:rPr>
                <w:sz w:val="20"/>
              </w:rPr>
              <w:t>63 (17.1%)</w:t>
            </w:r>
          </w:p>
        </w:tc>
        <w:tc>
          <w:tcPr>
            <w:tcW w:w="2128" w:type="dxa"/>
            <w:tcBorders>
              <w:top w:val="single" w:sz="4" w:space="0" w:color="auto"/>
              <w:left w:val="single" w:sz="4" w:space="0" w:color="auto"/>
              <w:bottom w:val="single" w:sz="4" w:space="0" w:color="auto"/>
              <w:right w:val="single" w:sz="4" w:space="0" w:color="auto"/>
            </w:tcBorders>
            <w:shd w:val="clear" w:color="auto" w:fill="FFFFFF"/>
            <w:vAlign w:val="bottom"/>
          </w:tcPr>
          <w:p w:rsidR="007E2BC7" w:rsidRPr="0040771E" w14:paraId="5FD86171" w14:textId="77777777">
            <w:pPr>
              <w:keepNext/>
              <w:outlineLvl w:val="0"/>
              <w:rPr>
                <w:bCs/>
                <w:iCs/>
                <w:sz w:val="20"/>
              </w:rPr>
            </w:pPr>
            <w:r w:rsidRPr="0040771E">
              <w:rPr>
                <w:sz w:val="20"/>
              </w:rPr>
              <w:t>46 (12.5%)</w:t>
            </w:r>
          </w:p>
        </w:tc>
      </w:tr>
      <w:tr w14:paraId="26377560" w14:textId="77777777">
        <w:tblPrEx>
          <w:tblW w:w="5000" w:type="pct"/>
          <w:jc w:val="center"/>
          <w:tblLook w:val="04A0"/>
        </w:tblPrEx>
        <w:trPr>
          <w:cantSplit/>
          <w:jc w:val="center"/>
        </w:trPr>
        <w:tc>
          <w:tcPr>
            <w:tcW w:w="4818" w:type="dxa"/>
            <w:tcBorders>
              <w:top w:val="nil"/>
              <w:left w:val="single" w:sz="4" w:space="0" w:color="auto"/>
              <w:bottom w:val="nil"/>
              <w:right w:val="single" w:sz="4" w:space="0" w:color="auto"/>
            </w:tcBorders>
          </w:tcPr>
          <w:p w:rsidR="007E2BC7" w:rsidRPr="0040771E" w14:paraId="4367E883" w14:textId="77777777">
            <w:pPr>
              <w:keepNext/>
              <w:ind w:left="567"/>
              <w:outlineLvl w:val="0"/>
              <w:rPr>
                <w:bCs/>
                <w:iCs/>
                <w:sz w:val="20"/>
              </w:rPr>
            </w:pPr>
            <w:r w:rsidRPr="0040771E">
              <w:rPr>
                <w:sz w:val="20"/>
              </w:rPr>
              <w:t xml:space="preserve">Very good partial response (VGPR) </w:t>
            </w:r>
          </w:p>
        </w:tc>
        <w:tc>
          <w:tcPr>
            <w:tcW w:w="2126" w:type="dxa"/>
            <w:tcBorders>
              <w:top w:val="single" w:sz="4" w:space="0" w:color="auto"/>
              <w:left w:val="nil"/>
              <w:bottom w:val="single" w:sz="4" w:space="0" w:color="auto"/>
              <w:right w:val="single" w:sz="4" w:space="0" w:color="auto"/>
            </w:tcBorders>
            <w:shd w:val="clear" w:color="auto" w:fill="FFFFFF"/>
            <w:vAlign w:val="bottom"/>
          </w:tcPr>
          <w:p w:rsidR="007E2BC7" w:rsidRPr="0040771E" w14:paraId="044FCDA0" w14:textId="77777777">
            <w:pPr>
              <w:keepNext/>
              <w:outlineLvl w:val="0"/>
              <w:rPr>
                <w:bCs/>
                <w:iCs/>
                <w:sz w:val="20"/>
              </w:rPr>
            </w:pPr>
            <w:r w:rsidRPr="0040771E">
              <w:rPr>
                <w:sz w:val="20"/>
              </w:rPr>
              <w:t>117 (31.8%)</w:t>
            </w:r>
          </w:p>
        </w:tc>
        <w:tc>
          <w:tcPr>
            <w:tcW w:w="2128" w:type="dxa"/>
            <w:tcBorders>
              <w:top w:val="single" w:sz="4" w:space="0" w:color="auto"/>
              <w:left w:val="single" w:sz="4" w:space="0" w:color="auto"/>
              <w:bottom w:val="single" w:sz="4" w:space="0" w:color="auto"/>
              <w:right w:val="single" w:sz="4" w:space="0" w:color="auto"/>
            </w:tcBorders>
            <w:shd w:val="clear" w:color="auto" w:fill="FFFFFF"/>
            <w:vAlign w:val="bottom"/>
          </w:tcPr>
          <w:p w:rsidR="007E2BC7" w:rsidRPr="0040771E" w14:paraId="0490130C" w14:textId="77777777">
            <w:pPr>
              <w:keepNext/>
              <w:outlineLvl w:val="0"/>
              <w:rPr>
                <w:bCs/>
                <w:iCs/>
                <w:sz w:val="20"/>
              </w:rPr>
            </w:pPr>
            <w:r w:rsidRPr="0040771E">
              <w:rPr>
                <w:sz w:val="20"/>
              </w:rPr>
              <w:t>104 (28.2%)</w:t>
            </w:r>
          </w:p>
        </w:tc>
      </w:tr>
      <w:tr w14:paraId="799292FE" w14:textId="77777777">
        <w:tblPrEx>
          <w:tblW w:w="5000" w:type="pct"/>
          <w:jc w:val="center"/>
          <w:tblLook w:val="04A0"/>
        </w:tblPrEx>
        <w:trPr>
          <w:cantSplit/>
          <w:jc w:val="center"/>
        </w:trPr>
        <w:tc>
          <w:tcPr>
            <w:tcW w:w="4818" w:type="dxa"/>
            <w:tcBorders>
              <w:top w:val="nil"/>
              <w:left w:val="single" w:sz="4" w:space="0" w:color="auto"/>
              <w:bottom w:val="single" w:sz="4" w:space="0" w:color="auto"/>
              <w:right w:val="single" w:sz="4" w:space="0" w:color="auto"/>
            </w:tcBorders>
          </w:tcPr>
          <w:p w:rsidR="007E2BC7" w:rsidRPr="0040771E" w14:paraId="389E9853" w14:textId="77777777">
            <w:pPr>
              <w:keepNext/>
              <w:ind w:left="567"/>
              <w:outlineLvl w:val="0"/>
              <w:rPr>
                <w:sz w:val="20"/>
              </w:rPr>
            </w:pPr>
            <w:r w:rsidRPr="0040771E">
              <w:rPr>
                <w:sz w:val="20"/>
              </w:rPr>
              <w:t>Partial response (PR)</w:t>
            </w:r>
          </w:p>
        </w:tc>
        <w:tc>
          <w:tcPr>
            <w:tcW w:w="2126" w:type="dxa"/>
            <w:tcBorders>
              <w:top w:val="single" w:sz="4" w:space="0" w:color="auto"/>
              <w:left w:val="nil"/>
              <w:bottom w:val="single" w:sz="4" w:space="0" w:color="auto"/>
              <w:right w:val="single" w:sz="4" w:space="0" w:color="auto"/>
            </w:tcBorders>
            <w:shd w:val="clear" w:color="auto" w:fill="FFFFFF"/>
            <w:vAlign w:val="bottom"/>
          </w:tcPr>
          <w:p w:rsidR="007E2BC7" w:rsidRPr="0040771E" w14:paraId="374687B0" w14:textId="77777777">
            <w:pPr>
              <w:keepNext/>
              <w:outlineLvl w:val="0"/>
              <w:rPr>
                <w:sz w:val="20"/>
              </w:rPr>
            </w:pPr>
            <w:r w:rsidRPr="0040771E">
              <w:rPr>
                <w:sz w:val="20"/>
              </w:rPr>
              <w:t>50 (13.6%)</w:t>
            </w:r>
          </w:p>
        </w:tc>
        <w:tc>
          <w:tcPr>
            <w:tcW w:w="2128" w:type="dxa"/>
            <w:tcBorders>
              <w:top w:val="single" w:sz="4" w:space="0" w:color="auto"/>
              <w:left w:val="single" w:sz="4" w:space="0" w:color="auto"/>
              <w:bottom w:val="single" w:sz="4" w:space="0" w:color="auto"/>
              <w:right w:val="single" w:sz="4" w:space="0" w:color="auto"/>
            </w:tcBorders>
            <w:shd w:val="clear" w:color="auto" w:fill="FFFFFF"/>
            <w:vAlign w:val="bottom"/>
          </w:tcPr>
          <w:p w:rsidR="007E2BC7" w:rsidRPr="0040771E" w14:paraId="27D0351E" w14:textId="77777777">
            <w:pPr>
              <w:keepNext/>
              <w:outlineLvl w:val="0"/>
              <w:rPr>
                <w:sz w:val="20"/>
              </w:rPr>
            </w:pPr>
            <w:r w:rsidRPr="0040771E">
              <w:rPr>
                <w:sz w:val="20"/>
              </w:rPr>
              <w:t>104 (28.2%)</w:t>
            </w:r>
          </w:p>
        </w:tc>
      </w:tr>
      <w:tr w14:paraId="567325CA" w14:textId="77777777">
        <w:tblPrEx>
          <w:tblW w:w="5000" w:type="pct"/>
          <w:jc w:val="center"/>
          <w:tblLook w:val="04A0"/>
        </w:tblPrEx>
        <w:trPr>
          <w:cantSplit/>
          <w:jc w:val="center"/>
        </w:trPr>
        <w:tc>
          <w:tcPr>
            <w:tcW w:w="4818" w:type="dxa"/>
            <w:tcBorders>
              <w:top w:val="nil"/>
              <w:left w:val="single" w:sz="4" w:space="0" w:color="auto"/>
              <w:bottom w:val="nil"/>
              <w:right w:val="single" w:sz="4" w:space="0" w:color="auto"/>
            </w:tcBorders>
          </w:tcPr>
          <w:p w:rsidR="007E2BC7" w:rsidRPr="0040771E" w14:paraId="071E04FA" w14:textId="77777777">
            <w:pPr>
              <w:keepNext/>
              <w:outlineLvl w:val="0"/>
              <w:rPr>
                <w:bCs/>
                <w:iCs/>
                <w:sz w:val="20"/>
              </w:rPr>
            </w:pPr>
            <w:r w:rsidRPr="0040771E">
              <w:rPr>
                <w:sz w:val="20"/>
              </w:rPr>
              <w:t>CR or better (sCR + CR)</w:t>
            </w:r>
          </w:p>
        </w:tc>
        <w:tc>
          <w:tcPr>
            <w:tcW w:w="2126" w:type="dxa"/>
            <w:tcBorders>
              <w:top w:val="single" w:sz="4" w:space="0" w:color="auto"/>
            </w:tcBorders>
          </w:tcPr>
          <w:p w:rsidR="007E2BC7" w:rsidRPr="0040771E" w14:paraId="25B1911C" w14:textId="77777777">
            <w:pPr>
              <w:keepNext/>
              <w:outlineLvl w:val="0"/>
              <w:rPr>
                <w:sz w:val="20"/>
              </w:rPr>
            </w:pPr>
            <w:r w:rsidRPr="0040771E">
              <w:rPr>
                <w:sz w:val="20"/>
              </w:rPr>
              <w:t>175 (47.6%)</w:t>
            </w:r>
          </w:p>
        </w:tc>
        <w:tc>
          <w:tcPr>
            <w:tcW w:w="2128" w:type="dxa"/>
            <w:tcBorders>
              <w:top w:val="single" w:sz="4" w:space="0" w:color="auto"/>
            </w:tcBorders>
          </w:tcPr>
          <w:p w:rsidR="007E2BC7" w:rsidRPr="0040771E" w14:paraId="2818B20B" w14:textId="77777777">
            <w:pPr>
              <w:keepNext/>
              <w:outlineLvl w:val="0"/>
              <w:rPr>
                <w:sz w:val="20"/>
              </w:rPr>
            </w:pPr>
            <w:r w:rsidRPr="0040771E">
              <w:rPr>
                <w:sz w:val="20"/>
              </w:rPr>
              <w:t>92 (24.9%)</w:t>
            </w:r>
          </w:p>
        </w:tc>
      </w:tr>
      <w:tr w14:paraId="5A01227B" w14:textId="77777777">
        <w:tblPrEx>
          <w:tblW w:w="5000" w:type="pct"/>
          <w:jc w:val="center"/>
          <w:tblLook w:val="04A0"/>
        </w:tblPrEx>
        <w:trPr>
          <w:cantSplit/>
          <w:jc w:val="center"/>
        </w:trPr>
        <w:tc>
          <w:tcPr>
            <w:tcW w:w="4818" w:type="dxa"/>
            <w:tcBorders>
              <w:top w:val="nil"/>
              <w:left w:val="single" w:sz="4" w:space="0" w:color="auto"/>
              <w:bottom w:val="nil"/>
              <w:right w:val="single" w:sz="4" w:space="0" w:color="auto"/>
            </w:tcBorders>
          </w:tcPr>
          <w:p w:rsidR="007E2BC7" w:rsidRPr="0040771E" w14:paraId="1A7D8F66" w14:textId="77777777">
            <w:pPr>
              <w:keepNext/>
              <w:outlineLvl w:val="0"/>
              <w:rPr>
                <w:bCs/>
                <w:iCs/>
                <w:sz w:val="20"/>
              </w:rPr>
            </w:pPr>
            <w:r w:rsidRPr="0040771E">
              <w:rPr>
                <w:sz w:val="20"/>
              </w:rPr>
              <w:t>p-value</w:t>
            </w:r>
            <w:r w:rsidRPr="0040771E">
              <w:rPr>
                <w:sz w:val="20"/>
                <w:vertAlign w:val="superscript"/>
              </w:rPr>
              <w:t>b</w:t>
            </w:r>
          </w:p>
        </w:tc>
        <w:tc>
          <w:tcPr>
            <w:tcW w:w="2126" w:type="dxa"/>
          </w:tcPr>
          <w:p w:rsidR="007E2BC7" w:rsidRPr="0040771E" w14:paraId="5DF30DCD" w14:textId="77777777">
            <w:pPr>
              <w:keepNext/>
              <w:outlineLvl w:val="0"/>
              <w:rPr>
                <w:sz w:val="20"/>
              </w:rPr>
            </w:pPr>
            <w:r w:rsidRPr="0040771E">
              <w:rPr>
                <w:sz w:val="20"/>
              </w:rPr>
              <w:t>&lt;0.0001</w:t>
            </w:r>
          </w:p>
        </w:tc>
        <w:tc>
          <w:tcPr>
            <w:tcW w:w="2128" w:type="dxa"/>
          </w:tcPr>
          <w:p w:rsidR="007E2BC7" w:rsidRPr="0040771E" w14:paraId="506551D4" w14:textId="77777777">
            <w:pPr>
              <w:keepNext/>
              <w:outlineLvl w:val="0"/>
              <w:rPr>
                <w:sz w:val="20"/>
              </w:rPr>
            </w:pPr>
          </w:p>
        </w:tc>
      </w:tr>
      <w:tr w14:paraId="49950ADF" w14:textId="77777777">
        <w:tblPrEx>
          <w:tblW w:w="5000" w:type="pct"/>
          <w:jc w:val="center"/>
          <w:tblLook w:val="04A0"/>
        </w:tblPrEx>
        <w:trPr>
          <w:cantSplit/>
          <w:jc w:val="center"/>
        </w:trPr>
        <w:tc>
          <w:tcPr>
            <w:tcW w:w="4818" w:type="dxa"/>
            <w:tcBorders>
              <w:top w:val="nil"/>
              <w:left w:val="single" w:sz="4" w:space="0" w:color="auto"/>
              <w:bottom w:val="nil"/>
              <w:right w:val="single" w:sz="4" w:space="0" w:color="auto"/>
            </w:tcBorders>
          </w:tcPr>
          <w:p w:rsidR="007E2BC7" w:rsidRPr="0040771E" w14:paraId="7894BB2C" w14:textId="77777777">
            <w:pPr>
              <w:keepNext/>
              <w:outlineLvl w:val="0"/>
              <w:rPr>
                <w:bCs/>
                <w:iCs/>
                <w:sz w:val="20"/>
              </w:rPr>
            </w:pPr>
            <w:r w:rsidRPr="0040771E">
              <w:rPr>
                <w:sz w:val="20"/>
              </w:rPr>
              <w:t>VGPR or better (sCR + CR + VGPR)</w:t>
            </w:r>
          </w:p>
        </w:tc>
        <w:tc>
          <w:tcPr>
            <w:tcW w:w="2126" w:type="dxa"/>
          </w:tcPr>
          <w:p w:rsidR="007E2BC7" w:rsidRPr="0040771E" w14:paraId="7CDD75CD" w14:textId="77777777">
            <w:pPr>
              <w:keepNext/>
              <w:outlineLvl w:val="0"/>
              <w:rPr>
                <w:sz w:val="20"/>
              </w:rPr>
            </w:pPr>
            <w:r w:rsidRPr="0040771E">
              <w:rPr>
                <w:sz w:val="20"/>
              </w:rPr>
              <w:t>292 (79.3%)</w:t>
            </w:r>
          </w:p>
        </w:tc>
        <w:tc>
          <w:tcPr>
            <w:tcW w:w="2128" w:type="dxa"/>
          </w:tcPr>
          <w:p w:rsidR="007E2BC7" w:rsidRPr="0040771E" w14:paraId="56FD2C30" w14:textId="77777777">
            <w:pPr>
              <w:keepNext/>
              <w:outlineLvl w:val="0"/>
              <w:rPr>
                <w:sz w:val="20"/>
              </w:rPr>
            </w:pPr>
            <w:r w:rsidRPr="0040771E">
              <w:rPr>
                <w:sz w:val="20"/>
              </w:rPr>
              <w:t>196 (53.1%)</w:t>
            </w:r>
          </w:p>
        </w:tc>
      </w:tr>
      <w:tr w14:paraId="1B78123F" w14:textId="77777777">
        <w:tblPrEx>
          <w:tblW w:w="5000" w:type="pct"/>
          <w:jc w:val="center"/>
          <w:tblLook w:val="04A0"/>
        </w:tblPrEx>
        <w:trPr>
          <w:cantSplit/>
          <w:jc w:val="center"/>
        </w:trPr>
        <w:tc>
          <w:tcPr>
            <w:tcW w:w="4818" w:type="dxa"/>
            <w:tcBorders>
              <w:top w:val="nil"/>
              <w:left w:val="single" w:sz="4" w:space="0" w:color="auto"/>
              <w:bottom w:val="nil"/>
              <w:right w:val="single" w:sz="4" w:space="0" w:color="auto"/>
            </w:tcBorders>
          </w:tcPr>
          <w:p w:rsidR="007E2BC7" w:rsidRPr="0040771E" w14:paraId="75CEFA41" w14:textId="77777777">
            <w:pPr>
              <w:keepNext/>
              <w:outlineLvl w:val="0"/>
              <w:rPr>
                <w:bCs/>
                <w:iCs/>
                <w:sz w:val="20"/>
              </w:rPr>
            </w:pPr>
            <w:r w:rsidRPr="0040771E">
              <w:rPr>
                <w:sz w:val="20"/>
              </w:rPr>
              <w:t>p-value</w:t>
            </w:r>
            <w:r w:rsidRPr="0040771E">
              <w:rPr>
                <w:sz w:val="20"/>
                <w:vertAlign w:val="superscript"/>
              </w:rPr>
              <w:t>b</w:t>
            </w:r>
          </w:p>
        </w:tc>
        <w:tc>
          <w:tcPr>
            <w:tcW w:w="2126" w:type="dxa"/>
          </w:tcPr>
          <w:p w:rsidR="007E2BC7" w:rsidRPr="0040771E" w14:paraId="20638960" w14:textId="77777777">
            <w:pPr>
              <w:keepNext/>
              <w:outlineLvl w:val="0"/>
              <w:rPr>
                <w:sz w:val="20"/>
              </w:rPr>
            </w:pPr>
            <w:r w:rsidRPr="0040771E">
              <w:rPr>
                <w:sz w:val="20"/>
              </w:rPr>
              <w:t>&lt;0.0001</w:t>
            </w:r>
          </w:p>
        </w:tc>
        <w:tc>
          <w:tcPr>
            <w:tcW w:w="2128" w:type="dxa"/>
          </w:tcPr>
          <w:p w:rsidR="007E2BC7" w:rsidRPr="0040771E" w14:paraId="2599E1CC" w14:textId="77777777">
            <w:pPr>
              <w:keepNext/>
              <w:outlineLvl w:val="0"/>
              <w:rPr>
                <w:sz w:val="20"/>
              </w:rPr>
            </w:pPr>
          </w:p>
        </w:tc>
      </w:tr>
      <w:tr w14:paraId="6D689947" w14:textId="77777777">
        <w:tblPrEx>
          <w:tblW w:w="5000" w:type="pct"/>
          <w:jc w:val="center"/>
          <w:tblLook w:val="04A0"/>
        </w:tblPrEx>
        <w:trPr>
          <w:cantSplit/>
          <w:jc w:val="center"/>
        </w:trPr>
        <w:tc>
          <w:tcPr>
            <w:tcW w:w="4818" w:type="dxa"/>
            <w:tcBorders>
              <w:top w:val="single" w:sz="4" w:space="0" w:color="auto"/>
              <w:left w:val="single" w:sz="4" w:space="0" w:color="auto"/>
              <w:bottom w:val="nil"/>
              <w:right w:val="single" w:sz="4" w:space="0" w:color="auto"/>
            </w:tcBorders>
          </w:tcPr>
          <w:p w:rsidR="007E2BC7" w:rsidRPr="0040771E" w14:paraId="6860CB22" w14:textId="77777777">
            <w:pPr>
              <w:keepNext/>
              <w:outlineLvl w:val="0"/>
              <w:rPr>
                <w:bCs/>
                <w:iCs/>
                <w:sz w:val="20"/>
              </w:rPr>
            </w:pPr>
            <w:r w:rsidRPr="0040771E">
              <w:rPr>
                <w:bCs/>
                <w:iCs/>
                <w:sz w:val="20"/>
              </w:rPr>
              <w:t>MRD negativity rate</w:t>
            </w:r>
            <w:r w:rsidRPr="0040771E">
              <w:rPr>
                <w:bCs/>
                <w:iCs/>
                <w:sz w:val="20"/>
                <w:vertAlign w:val="superscript"/>
              </w:rPr>
              <w:t>a,c</w:t>
            </w:r>
            <w:r w:rsidRPr="0040771E">
              <w:rPr>
                <w:bCs/>
                <w:iCs/>
                <w:sz w:val="20"/>
              </w:rPr>
              <w:t xml:space="preserve"> n(%)</w:t>
            </w:r>
          </w:p>
        </w:tc>
        <w:tc>
          <w:tcPr>
            <w:tcW w:w="2126" w:type="dxa"/>
          </w:tcPr>
          <w:p w:rsidR="007E2BC7" w:rsidRPr="0040771E" w14:paraId="645DC5CB" w14:textId="77777777">
            <w:pPr>
              <w:keepNext/>
              <w:outlineLvl w:val="0"/>
              <w:rPr>
                <w:sz w:val="20"/>
              </w:rPr>
            </w:pPr>
            <w:r w:rsidRPr="0040771E">
              <w:rPr>
                <w:sz w:val="20"/>
              </w:rPr>
              <w:t>89 (24.2%)</w:t>
            </w:r>
          </w:p>
        </w:tc>
        <w:tc>
          <w:tcPr>
            <w:tcW w:w="2128" w:type="dxa"/>
          </w:tcPr>
          <w:p w:rsidR="007E2BC7" w:rsidRPr="0040771E" w14:paraId="7C79F2E8" w14:textId="77777777">
            <w:pPr>
              <w:keepNext/>
              <w:outlineLvl w:val="0"/>
              <w:rPr>
                <w:sz w:val="20"/>
              </w:rPr>
            </w:pPr>
            <w:r w:rsidRPr="0040771E">
              <w:rPr>
                <w:sz w:val="20"/>
              </w:rPr>
              <w:t>27 (7.3%)</w:t>
            </w:r>
          </w:p>
        </w:tc>
      </w:tr>
      <w:tr w14:paraId="58F6FA65" w14:textId="77777777">
        <w:tblPrEx>
          <w:tblW w:w="5000" w:type="pct"/>
          <w:jc w:val="center"/>
          <w:tblLook w:val="04A0"/>
        </w:tblPrEx>
        <w:trPr>
          <w:cantSplit/>
          <w:jc w:val="center"/>
        </w:trPr>
        <w:tc>
          <w:tcPr>
            <w:tcW w:w="4818" w:type="dxa"/>
            <w:tcBorders>
              <w:top w:val="single" w:sz="4" w:space="0" w:color="auto"/>
              <w:left w:val="single" w:sz="4" w:space="0" w:color="auto"/>
              <w:bottom w:val="single" w:sz="4" w:space="0" w:color="auto"/>
              <w:right w:val="single" w:sz="4" w:space="0" w:color="auto"/>
            </w:tcBorders>
          </w:tcPr>
          <w:p w:rsidR="007E2BC7" w:rsidRPr="0040771E" w14:paraId="60CD2151" w14:textId="77777777">
            <w:pPr>
              <w:keepNext/>
              <w:outlineLvl w:val="0"/>
              <w:rPr>
                <w:sz w:val="20"/>
              </w:rPr>
            </w:pPr>
            <w:r w:rsidRPr="0040771E">
              <w:rPr>
                <w:bCs/>
                <w:iCs/>
                <w:sz w:val="20"/>
              </w:rPr>
              <w:t>95% CI (%)</w:t>
            </w:r>
          </w:p>
        </w:tc>
        <w:tc>
          <w:tcPr>
            <w:tcW w:w="2126" w:type="dxa"/>
          </w:tcPr>
          <w:p w:rsidR="007E2BC7" w:rsidRPr="0040771E" w14:paraId="38840940" w14:textId="77777777">
            <w:pPr>
              <w:keepNext/>
              <w:outlineLvl w:val="0"/>
              <w:rPr>
                <w:sz w:val="20"/>
              </w:rPr>
            </w:pPr>
            <w:r w:rsidRPr="0040771E">
              <w:rPr>
                <w:sz w:val="20"/>
              </w:rPr>
              <w:t>(19.9%, 28.9%)</w:t>
            </w:r>
          </w:p>
        </w:tc>
        <w:tc>
          <w:tcPr>
            <w:tcW w:w="2128" w:type="dxa"/>
          </w:tcPr>
          <w:p w:rsidR="007E2BC7" w:rsidRPr="0040771E" w14:paraId="3C63BA83" w14:textId="77777777">
            <w:pPr>
              <w:keepNext/>
              <w:outlineLvl w:val="0"/>
              <w:rPr>
                <w:sz w:val="20"/>
              </w:rPr>
            </w:pPr>
            <w:r w:rsidRPr="0040771E">
              <w:rPr>
                <w:sz w:val="20"/>
              </w:rPr>
              <w:t>(4.9%, 10.5%)</w:t>
            </w:r>
          </w:p>
        </w:tc>
      </w:tr>
      <w:tr w14:paraId="0970DB40" w14:textId="77777777">
        <w:tblPrEx>
          <w:tblW w:w="5000" w:type="pct"/>
          <w:jc w:val="center"/>
          <w:tblLook w:val="04A0"/>
        </w:tblPrEx>
        <w:trPr>
          <w:cantSplit/>
          <w:jc w:val="center"/>
        </w:trPr>
        <w:tc>
          <w:tcPr>
            <w:tcW w:w="4818" w:type="dxa"/>
            <w:tcBorders>
              <w:top w:val="nil"/>
              <w:left w:val="single" w:sz="4" w:space="0" w:color="auto"/>
              <w:bottom w:val="nil"/>
              <w:right w:val="single" w:sz="4" w:space="0" w:color="auto"/>
            </w:tcBorders>
          </w:tcPr>
          <w:p w:rsidR="007E2BC7" w:rsidRPr="0040771E" w14:paraId="15F0E77C" w14:textId="77777777">
            <w:pPr>
              <w:keepNext/>
              <w:outlineLvl w:val="0"/>
              <w:rPr>
                <w:bCs/>
                <w:iCs/>
                <w:sz w:val="20"/>
              </w:rPr>
            </w:pPr>
            <w:r w:rsidRPr="0040771E">
              <w:rPr>
                <w:sz w:val="20"/>
              </w:rPr>
              <w:t>Odds ratio with 95% CI</w:t>
            </w:r>
            <w:r w:rsidRPr="0040771E">
              <w:rPr>
                <w:sz w:val="20"/>
                <w:vertAlign w:val="superscript"/>
              </w:rPr>
              <w:t>d</w:t>
            </w:r>
          </w:p>
        </w:tc>
        <w:tc>
          <w:tcPr>
            <w:tcW w:w="4254" w:type="dxa"/>
            <w:gridSpan w:val="2"/>
          </w:tcPr>
          <w:p w:rsidR="007E2BC7" w:rsidRPr="0040771E" w14:paraId="55ED3E03" w14:textId="77777777">
            <w:pPr>
              <w:keepNext/>
              <w:outlineLvl w:val="0"/>
              <w:rPr>
                <w:sz w:val="20"/>
              </w:rPr>
            </w:pPr>
            <w:r w:rsidRPr="0040771E">
              <w:rPr>
                <w:sz w:val="20"/>
              </w:rPr>
              <w:t>4.04 (2.55, 6.39)</w:t>
            </w:r>
          </w:p>
        </w:tc>
      </w:tr>
      <w:tr w14:paraId="1A6C10C2" w14:textId="77777777">
        <w:tblPrEx>
          <w:tblW w:w="5000" w:type="pct"/>
          <w:jc w:val="center"/>
          <w:tblLook w:val="04A0"/>
        </w:tblPrEx>
        <w:trPr>
          <w:cantSplit/>
          <w:jc w:val="center"/>
        </w:trPr>
        <w:tc>
          <w:tcPr>
            <w:tcW w:w="4818" w:type="dxa"/>
            <w:tcBorders>
              <w:top w:val="single" w:sz="4" w:space="0" w:color="auto"/>
              <w:left w:val="single" w:sz="4" w:space="0" w:color="auto"/>
              <w:bottom w:val="single" w:sz="4" w:space="0" w:color="auto"/>
              <w:right w:val="single" w:sz="4" w:space="0" w:color="auto"/>
            </w:tcBorders>
          </w:tcPr>
          <w:p w:rsidR="007E2BC7" w:rsidRPr="0040771E" w14:paraId="4997D7C7" w14:textId="77777777">
            <w:pPr>
              <w:keepNext/>
              <w:outlineLvl w:val="0"/>
              <w:rPr>
                <w:bCs/>
                <w:iCs/>
                <w:sz w:val="20"/>
              </w:rPr>
            </w:pPr>
            <w:r w:rsidRPr="0040771E">
              <w:rPr>
                <w:sz w:val="20"/>
              </w:rPr>
              <w:t>p-value</w:t>
            </w:r>
            <w:r w:rsidRPr="0040771E">
              <w:rPr>
                <w:sz w:val="20"/>
                <w:vertAlign w:val="superscript"/>
              </w:rPr>
              <w:t>e</w:t>
            </w:r>
          </w:p>
        </w:tc>
        <w:tc>
          <w:tcPr>
            <w:tcW w:w="4254" w:type="dxa"/>
            <w:gridSpan w:val="2"/>
            <w:tcBorders>
              <w:right w:val="single" w:sz="4" w:space="0" w:color="auto"/>
            </w:tcBorders>
          </w:tcPr>
          <w:p w:rsidR="007E2BC7" w:rsidRPr="0040771E" w14:paraId="613DC99A" w14:textId="77777777">
            <w:pPr>
              <w:keepNext/>
              <w:outlineLvl w:val="0"/>
              <w:rPr>
                <w:sz w:val="20"/>
              </w:rPr>
            </w:pPr>
            <w:r w:rsidRPr="0040771E">
              <w:rPr>
                <w:sz w:val="20"/>
              </w:rPr>
              <w:t>&lt;0.0001</w:t>
            </w:r>
          </w:p>
        </w:tc>
      </w:tr>
      <w:tr w14:paraId="32B55023" w14:textId="77777777">
        <w:tblPrEx>
          <w:tblW w:w="5000" w:type="pct"/>
          <w:jc w:val="center"/>
          <w:tblLook w:val="04A0"/>
        </w:tblPrEx>
        <w:trPr>
          <w:cantSplit/>
          <w:jc w:val="center"/>
        </w:trPr>
        <w:tc>
          <w:tcPr>
            <w:tcW w:w="9072" w:type="dxa"/>
            <w:gridSpan w:val="3"/>
            <w:tcBorders>
              <w:top w:val="single" w:sz="4" w:space="0" w:color="auto"/>
              <w:left w:val="nil"/>
              <w:bottom w:val="nil"/>
              <w:right w:val="nil"/>
            </w:tcBorders>
          </w:tcPr>
          <w:p w:rsidR="007E2BC7" w:rsidRPr="0040771E" w14:paraId="3ECBA6F6" w14:textId="77777777">
            <w:pPr>
              <w:keepNext/>
              <w:outlineLvl w:val="0"/>
              <w:rPr>
                <w:sz w:val="18"/>
              </w:rPr>
            </w:pPr>
            <w:r w:rsidRPr="0040771E">
              <w:rPr>
                <w:sz w:val="18"/>
              </w:rPr>
              <w:t>DRd=daratumumab-lenalidomide-dexamethasone; Rd=lenalidomide-dexamethasone; MRD=minimal residual disease; CI=confidence interval</w:t>
            </w:r>
          </w:p>
          <w:p w:rsidR="007E2BC7" w:rsidRPr="0040771E" w14:paraId="25D105F5" w14:textId="77777777">
            <w:pPr>
              <w:keepNext/>
              <w:ind w:left="360" w:hanging="360"/>
              <w:outlineLvl w:val="0"/>
              <w:rPr>
                <w:sz w:val="18"/>
              </w:rPr>
            </w:pPr>
            <w:r w:rsidRPr="0040771E">
              <w:rPr>
                <w:sz w:val="18"/>
                <w:vertAlign w:val="superscript"/>
              </w:rPr>
              <w:t>a</w:t>
            </w:r>
            <w:r w:rsidRPr="0040771E">
              <w:rPr>
                <w:sz w:val="18"/>
              </w:rPr>
              <w:tab/>
              <w:t xml:space="preserve">Based on intent-to-treat population </w:t>
            </w:r>
          </w:p>
          <w:p w:rsidR="007E2BC7" w:rsidRPr="0040771E" w14:paraId="5EDE52A2" w14:textId="77777777">
            <w:pPr>
              <w:keepNext/>
              <w:ind w:left="360" w:hanging="360"/>
              <w:outlineLvl w:val="0"/>
              <w:rPr>
                <w:sz w:val="18"/>
              </w:rPr>
            </w:pPr>
            <w:r w:rsidRPr="0040771E">
              <w:rPr>
                <w:sz w:val="18"/>
                <w:vertAlign w:val="superscript"/>
              </w:rPr>
              <w:t>b</w:t>
            </w:r>
            <w:r w:rsidRPr="0040771E">
              <w:rPr>
                <w:sz w:val="18"/>
              </w:rPr>
              <w:tab/>
              <w:t>p-value from Cochran Mantel-Haenszel Chi-Squared test.</w:t>
            </w:r>
          </w:p>
          <w:p w:rsidR="007E2BC7" w:rsidRPr="0040771E" w14:paraId="1214E766" w14:textId="77777777">
            <w:pPr>
              <w:keepNext/>
              <w:ind w:left="360" w:hanging="360"/>
              <w:outlineLvl w:val="0"/>
              <w:rPr>
                <w:sz w:val="18"/>
              </w:rPr>
            </w:pPr>
            <w:r w:rsidRPr="0040771E">
              <w:rPr>
                <w:sz w:val="18"/>
                <w:vertAlign w:val="superscript"/>
              </w:rPr>
              <w:t>c</w:t>
            </w:r>
            <w:r w:rsidRPr="0040771E">
              <w:rPr>
                <w:sz w:val="18"/>
                <w:vertAlign w:val="superscript"/>
              </w:rPr>
              <w:tab/>
            </w:r>
            <w:r w:rsidRPr="0040771E">
              <w:rPr>
                <w:sz w:val="18"/>
              </w:rPr>
              <w:t>Based on threshold of 10</w:t>
            </w:r>
            <w:r w:rsidRPr="0040771E">
              <w:rPr>
                <w:sz w:val="18"/>
                <w:vertAlign w:val="superscript"/>
              </w:rPr>
              <w:t>-5</w:t>
            </w:r>
          </w:p>
          <w:p w:rsidR="007E2BC7" w:rsidRPr="0040771E" w14:paraId="46FDDFAA" w14:textId="77777777">
            <w:pPr>
              <w:keepNext/>
              <w:ind w:left="360" w:hanging="360"/>
              <w:outlineLvl w:val="0"/>
              <w:rPr>
                <w:sz w:val="18"/>
              </w:rPr>
            </w:pPr>
            <w:r w:rsidRPr="0040771E">
              <w:rPr>
                <w:sz w:val="18"/>
                <w:vertAlign w:val="superscript"/>
              </w:rPr>
              <w:t>d</w:t>
            </w:r>
            <w:r w:rsidRPr="0040771E">
              <w:rPr>
                <w:sz w:val="18"/>
                <w:vertAlign w:val="superscript"/>
              </w:rPr>
              <w:tab/>
            </w:r>
            <w:r w:rsidRPr="0040771E">
              <w:rPr>
                <w:sz w:val="18"/>
              </w:rPr>
              <w:t>Mantel-Haenszel estimate of the odds ratio for un-stratified tables is used. An odds ratio &gt;1 indicates an advantage for DRd.</w:t>
            </w:r>
          </w:p>
          <w:p w:rsidR="007E2BC7" w:rsidRPr="0040771E" w14:paraId="147A4BA9" w14:textId="77777777">
            <w:pPr>
              <w:keepNext/>
              <w:ind w:left="360" w:hanging="360"/>
              <w:outlineLvl w:val="0"/>
              <w:rPr>
                <w:bCs/>
                <w:iCs/>
                <w:sz w:val="20"/>
              </w:rPr>
            </w:pPr>
            <w:r w:rsidRPr="0040771E">
              <w:rPr>
                <w:sz w:val="18"/>
                <w:vertAlign w:val="superscript"/>
              </w:rPr>
              <w:t>e</w:t>
            </w:r>
            <w:r w:rsidRPr="0040771E">
              <w:rPr>
                <w:sz w:val="18"/>
              </w:rPr>
              <w:tab/>
              <w:t>p-value from Fisherʼs exact test.</w:t>
            </w:r>
          </w:p>
        </w:tc>
      </w:tr>
      <w:bookmarkEnd w:id="31"/>
    </w:tbl>
    <w:p w:rsidR="007E2BC7" w:rsidRPr="0040771E" w14:paraId="70D01BF7" w14:textId="77777777">
      <w:pPr>
        <w:rPr>
          <w:u w:val="single"/>
        </w:rPr>
      </w:pPr>
    </w:p>
    <w:bookmarkEnd w:id="29"/>
    <w:bookmarkEnd w:id="30"/>
    <w:p w:rsidR="007E2BC7" w:rsidRPr="0040771E" w14:paraId="7ACDB6FB" w14:textId="77777777">
      <w:r w:rsidRPr="0040771E">
        <w:t>In responders, the median time to response was 1.05 months (range: 0.2 to 12.1 months) in the DRd group and 1.05 months (range: 0.3 to 15.3 months) in the Rd group. The median duration of response had not been reached in the DRd group and was 34.7 months (95% CI: 30.8, not estimable) in the Rd group.</w:t>
      </w:r>
    </w:p>
    <w:p w:rsidR="007E2BC7" w:rsidRPr="0040771E" w14:paraId="40F1BCE2" w14:textId="77777777"/>
    <w:p w:rsidR="007E2BC7" w:rsidRPr="0040771E" w14:paraId="14E81421" w14:textId="77777777">
      <w:pPr>
        <w:rPr>
          <w:bCs/>
          <w:i/>
          <w:iCs/>
          <w:szCs w:val="22"/>
        </w:rPr>
      </w:pPr>
      <w:r w:rsidRPr="0040771E">
        <w:rPr>
          <w:i/>
          <w:iCs/>
        </w:rPr>
        <w:t>Combination treatment with bortezomib, melphalan and prednisone (VMP) in patients ineligible for autologous stem cell transplant</w:t>
      </w:r>
    </w:p>
    <w:p w:rsidR="007E2BC7" w:rsidRPr="0040771E" w14:paraId="2658EA4A" w14:textId="413FD707">
      <w:pPr>
        <w:rPr>
          <w:bCs/>
          <w:iCs/>
          <w:szCs w:val="22"/>
        </w:rPr>
      </w:pPr>
      <w:r w:rsidRPr="0040771E">
        <w:rPr>
          <w:bCs/>
          <w:iCs/>
          <w:szCs w:val="22"/>
        </w:rPr>
        <w:t xml:space="preserve">Study MMY3007, an open-label, randomised, active-controlled phase III study, compared treatment with </w:t>
      </w:r>
      <w:r w:rsidR="00E65908">
        <w:rPr>
          <w:bCs/>
          <w:iCs/>
          <w:szCs w:val="22"/>
        </w:rPr>
        <w:t>DARZALEX</w:t>
      </w:r>
      <w:r w:rsidRPr="0040771E">
        <w:rPr>
          <w:bCs/>
          <w:iCs/>
          <w:szCs w:val="22"/>
        </w:rPr>
        <w:t xml:space="preserve"> 16 mg/kg in combination with bortezomib, melphalan and prednisone (D-VMP), to treatment with VMP in patients with newly diagnosed multiple myeloma. Bortezomib was administered by subcutaneous injection at a dose of 1.3 mg/m</w:t>
      </w:r>
      <w:r w:rsidRPr="0040771E">
        <w:rPr>
          <w:bCs/>
          <w:iCs/>
          <w:szCs w:val="22"/>
          <w:vertAlign w:val="superscript"/>
        </w:rPr>
        <w:t>2</w:t>
      </w:r>
      <w:r w:rsidRPr="0040771E">
        <w:rPr>
          <w:bCs/>
          <w:iCs/>
          <w:szCs w:val="22"/>
        </w:rPr>
        <w:t xml:space="preserve"> body surface area twice weekly at weeks 1, 2, 4 and 5 for the first 6-week cycle (cycle 1; 8 doses), followed by once weekly administrations at weeks 1, 2, 4 and 5 for eight more 6-week cycles (cycles 2-9; 4 doses per cycle). Melphalan at 9 mg/m</w:t>
      </w:r>
      <w:r w:rsidRPr="0040771E">
        <w:rPr>
          <w:bCs/>
          <w:iCs/>
          <w:szCs w:val="22"/>
          <w:vertAlign w:val="superscript"/>
        </w:rPr>
        <w:t>2</w:t>
      </w:r>
      <w:r w:rsidRPr="0040771E">
        <w:rPr>
          <w:bCs/>
          <w:iCs/>
          <w:szCs w:val="22"/>
        </w:rPr>
        <w:t>, and prednisone at 60 mg/m</w:t>
      </w:r>
      <w:r w:rsidRPr="0040771E">
        <w:rPr>
          <w:bCs/>
          <w:iCs/>
          <w:szCs w:val="22"/>
          <w:vertAlign w:val="superscript"/>
        </w:rPr>
        <w:t>2</w:t>
      </w:r>
      <w:r w:rsidRPr="0040771E">
        <w:rPr>
          <w:bCs/>
          <w:iCs/>
          <w:szCs w:val="22"/>
        </w:rPr>
        <w:t xml:space="preserve"> were orally administered on days 1 to 4 of the nine 6-week cycles (cycles 1-9). </w:t>
      </w:r>
      <w:r w:rsidR="00E65908">
        <w:rPr>
          <w:bCs/>
          <w:iCs/>
          <w:szCs w:val="22"/>
        </w:rPr>
        <w:t>DARZALEX</w:t>
      </w:r>
      <w:r w:rsidRPr="0040771E">
        <w:rPr>
          <w:bCs/>
          <w:iCs/>
          <w:szCs w:val="22"/>
        </w:rPr>
        <w:t xml:space="preserve"> treatment was continued until disease progression or unacceptable toxicity.</w:t>
      </w:r>
    </w:p>
    <w:p w:rsidR="00833770" w14:paraId="03055D0C" w14:textId="77777777">
      <w:pPr>
        <w:rPr>
          <w:bCs/>
          <w:iCs/>
          <w:szCs w:val="22"/>
        </w:rPr>
      </w:pPr>
    </w:p>
    <w:p w:rsidR="007E2BC7" w:rsidRPr="0040771E" w14:paraId="3C20EA7B" w14:textId="479D9261">
      <w:pPr>
        <w:rPr>
          <w:bCs/>
          <w:iCs/>
          <w:szCs w:val="22"/>
        </w:rPr>
      </w:pPr>
      <w:r w:rsidRPr="0040771E">
        <w:rPr>
          <w:bCs/>
          <w:iCs/>
          <w:szCs w:val="22"/>
        </w:rPr>
        <w:t xml:space="preserve">A total of 706 patients were randomised: 350 to the D-VMP arm and 356 to the VMP arm. The baseline demographic and disease characteristics were similar between the two treatment groups. The median age was 71 (range: 40-93) years, with 30% of the patients ≥75 years of age. The majority were white (85%), female (54%), </w:t>
      </w:r>
      <w:bookmarkStart w:id="32" w:name="_Hlk495499456"/>
      <w:r w:rsidRPr="0040771E">
        <w:t xml:space="preserve">25% had an ECOG performance score of 0, </w:t>
      </w:r>
      <w:bookmarkStart w:id="33" w:name="_Hlk496085132"/>
      <w:r w:rsidRPr="0040771E">
        <w:t>50% had an ECOG performance score of 1</w:t>
      </w:r>
      <w:bookmarkEnd w:id="33"/>
      <w:r w:rsidRPr="0040771E">
        <w:t xml:space="preserve"> and 25% had an ECOG performance score of 2.</w:t>
      </w:r>
      <w:bookmarkEnd w:id="32"/>
      <w:r w:rsidRPr="0040771E">
        <w:t xml:space="preserve"> </w:t>
      </w:r>
      <w:r w:rsidRPr="0040771E">
        <w:rPr>
          <w:bCs/>
          <w:iCs/>
          <w:szCs w:val="22"/>
        </w:rPr>
        <w:t>Patients had IgG/IgA/Light chain myeloma in 64%/22%/10% of instances, 19% had ISS stage I, 42% had ISS stage II, 38% had ISS stage III disease and 84% had standard risk cytogenetics. Efficacy was evaluated by PFS based on IMWG criteria and overall survival (OS).</w:t>
      </w:r>
    </w:p>
    <w:p w:rsidR="007E2BC7" w:rsidRPr="0040771E" w14:paraId="55D0431B" w14:textId="77777777">
      <w:pPr>
        <w:rPr>
          <w:bCs/>
          <w:iCs/>
          <w:szCs w:val="22"/>
        </w:rPr>
      </w:pPr>
    </w:p>
    <w:p w:rsidR="007E2BC7" w:rsidRPr="0040771E" w14:paraId="31AB3528" w14:textId="6C824044">
      <w:pPr>
        <w:rPr>
          <w:bCs/>
          <w:iCs/>
          <w:szCs w:val="22"/>
        </w:rPr>
      </w:pPr>
      <w:r w:rsidRPr="0040771E">
        <w:rPr>
          <w:bCs/>
          <w:iCs/>
          <w:szCs w:val="22"/>
        </w:rPr>
        <w:t>With a median follow</w:t>
      </w:r>
      <w:r w:rsidRPr="0040771E">
        <w:rPr>
          <w:bCs/>
          <w:iCs/>
          <w:szCs w:val="22"/>
        </w:rPr>
        <w:noBreakHyphen/>
        <w:t xml:space="preserve">up of 16.5 months, the primary analysis of PFS in study MMY3007 showed an improvement in the D-VMP arm as compared to the VMP arm; the median PFS had not been reached in the D-VMP arm and was 18.1 months in the VMP arm (HR=0.5; 95% CI: 0.38, 0.65; p &lt; </w:t>
      </w:r>
      <w:r w:rsidR="00447015">
        <w:rPr>
          <w:bCs/>
          <w:iCs/>
          <w:szCs w:val="22"/>
        </w:rPr>
        <w:t xml:space="preserve"> </w:t>
      </w:r>
      <w:r w:rsidRPr="0040771E">
        <w:rPr>
          <w:bCs/>
          <w:iCs/>
          <w:szCs w:val="22"/>
        </w:rPr>
        <w:t>0.0001).</w:t>
      </w:r>
      <w:r w:rsidRPr="0040771E">
        <w:t xml:space="preserve"> Results of an updated PFS analysis </w:t>
      </w:r>
      <w:bookmarkStart w:id="34" w:name="_Hlk22019179"/>
      <w:r w:rsidRPr="0040771E">
        <w:rPr>
          <w:bCs/>
          <w:iCs/>
          <w:szCs w:val="22"/>
        </w:rPr>
        <w:t>after a median follow</w:t>
      </w:r>
      <w:r w:rsidRPr="0040771E">
        <w:rPr>
          <w:bCs/>
          <w:iCs/>
          <w:szCs w:val="22"/>
        </w:rPr>
        <w:noBreakHyphen/>
        <w:t>up of 40 </w:t>
      </w:r>
      <w:r w:rsidRPr="0040771E">
        <w:t>months</w:t>
      </w:r>
      <w:bookmarkEnd w:id="34"/>
      <w:r w:rsidRPr="0040771E">
        <w:t xml:space="preserve"> continued to show an improvement in PFS for patients in the D</w:t>
      </w:r>
      <w:r w:rsidRPr="0040771E">
        <w:rPr>
          <w:bCs/>
          <w:iCs/>
          <w:szCs w:val="22"/>
        </w:rPr>
        <w:noBreakHyphen/>
      </w:r>
      <w:r w:rsidRPr="0040771E">
        <w:t xml:space="preserve">VMP arm compared with the VMP arm. Median PFS was </w:t>
      </w:r>
      <w:r w:rsidRPr="0040771E">
        <w:rPr>
          <w:bCs/>
          <w:iCs/>
          <w:szCs w:val="22"/>
        </w:rPr>
        <w:t>36.4 months</w:t>
      </w:r>
      <w:r w:rsidRPr="0040771E">
        <w:t xml:space="preserve"> in the D</w:t>
      </w:r>
      <w:r w:rsidRPr="0040771E">
        <w:rPr>
          <w:bCs/>
          <w:iCs/>
          <w:szCs w:val="22"/>
        </w:rPr>
        <w:noBreakHyphen/>
      </w:r>
      <w:r w:rsidRPr="0040771E">
        <w:t>VMP arm and 19.3 months in the VMP arm (HR=0.</w:t>
      </w:r>
      <w:r w:rsidRPr="0040771E">
        <w:rPr>
          <w:bCs/>
          <w:iCs/>
          <w:szCs w:val="22"/>
        </w:rPr>
        <w:t xml:space="preserve">42; </w:t>
      </w:r>
      <w:r w:rsidRPr="0040771E">
        <w:t>95% CI: 0.</w:t>
      </w:r>
      <w:r w:rsidRPr="0040771E">
        <w:rPr>
          <w:bCs/>
          <w:iCs/>
          <w:szCs w:val="22"/>
        </w:rPr>
        <w:t>34</w:t>
      </w:r>
      <w:r w:rsidRPr="0040771E">
        <w:t>, 0.</w:t>
      </w:r>
      <w:r w:rsidRPr="0040771E">
        <w:rPr>
          <w:bCs/>
          <w:iCs/>
          <w:szCs w:val="22"/>
        </w:rPr>
        <w:t>51; p &lt;</w:t>
      </w:r>
      <w:r w:rsidR="00447015">
        <w:rPr>
          <w:bCs/>
          <w:iCs/>
          <w:szCs w:val="22"/>
        </w:rPr>
        <w:t xml:space="preserve"> </w:t>
      </w:r>
      <w:r w:rsidRPr="0040771E">
        <w:rPr>
          <w:bCs/>
          <w:iCs/>
          <w:szCs w:val="22"/>
        </w:rPr>
        <w:t xml:space="preserve"> 0.0001), representing a 58% reduction in the risk of disease progression or death in patients treated with D</w:t>
      </w:r>
      <w:r w:rsidRPr="0040771E">
        <w:rPr>
          <w:bCs/>
          <w:iCs/>
          <w:szCs w:val="22"/>
        </w:rPr>
        <w:noBreakHyphen/>
        <w:t>VMP.</w:t>
      </w:r>
    </w:p>
    <w:p w:rsidR="007E2BC7" w:rsidRPr="0040771E" w14:paraId="10230AEA" w14:textId="77777777">
      <w:pPr>
        <w:rPr>
          <w:bCs/>
          <w:iCs/>
          <w:szCs w:val="22"/>
        </w:rPr>
      </w:pPr>
    </w:p>
    <w:p w:rsidR="007E2BC7" w:rsidRPr="0040771E" w14:paraId="2B665C25" w14:textId="77777777">
      <w:pPr>
        <w:keepNext/>
        <w:tabs>
          <w:tab w:val="clear" w:pos="567"/>
          <w:tab w:val="left" w:pos="1152"/>
        </w:tabs>
        <w:ind w:left="1152" w:hanging="1152"/>
        <w:rPr>
          <w:b/>
          <w:sz w:val="20"/>
          <w:lang w:val="en-US" w:bidi="he-IL"/>
        </w:rPr>
      </w:pPr>
      <w:r w:rsidRPr="0040771E">
        <w:rPr>
          <w:b/>
          <w:sz w:val="20"/>
        </w:rPr>
        <w:t>Figure 3:</w:t>
      </w:r>
      <w:r w:rsidRPr="0040771E">
        <w:rPr>
          <w:b/>
          <w:sz w:val="20"/>
        </w:rPr>
        <w:tab/>
        <w:t>Kaplan-Meier curve of PFS in study MMY3007</w:t>
      </w:r>
    </w:p>
    <w:p w:rsidR="007E2BC7" w:rsidRPr="0040771E" w14:paraId="10E9C692" w14:textId="77777777">
      <w:pPr>
        <w:keepNext/>
        <w:tabs>
          <w:tab w:val="clear" w:pos="567"/>
          <w:tab w:val="left" w:pos="1152"/>
        </w:tabs>
        <w:ind w:left="1152" w:hanging="1152"/>
        <w:rPr>
          <w:b/>
          <w:bCs/>
          <w:sz w:val="20"/>
          <w:szCs w:val="18"/>
        </w:rPr>
      </w:pPr>
    </w:p>
    <w:p w:rsidR="007E2BC7" w:rsidRPr="0040771E" w14:paraId="73737B52" w14:textId="77777777">
      <w:pPr>
        <w:tabs>
          <w:tab w:val="clear" w:pos="567"/>
          <w:tab w:val="left" w:pos="1152"/>
        </w:tabs>
        <w:ind w:left="1152" w:hanging="1152"/>
      </w:pPr>
      <w:r>
        <w:pict>
          <v:shape id="_x0000_i1026" type="#_x0000_t75" style="width:425.25pt;height:388.5pt">
            <v:imagedata r:id="rId15" o:title="Fig 2 MMY3007 PFS png"/>
          </v:shape>
        </w:pict>
      </w:r>
    </w:p>
    <w:p w:rsidR="007E2BC7" w:rsidRPr="0040771E" w14:paraId="304EE00B" w14:textId="77777777">
      <w:pPr>
        <w:pStyle w:val="BodyText12"/>
        <w:spacing w:after="0" w:line="240" w:lineRule="auto"/>
        <w:jc w:val="left"/>
        <w:rPr>
          <w:noProof/>
          <w:sz w:val="22"/>
          <w:szCs w:val="22"/>
          <w:lang w:val="en-GB"/>
        </w:rPr>
      </w:pPr>
    </w:p>
    <w:p w:rsidR="00263967" w:rsidRPr="00263967" w:rsidP="00263967" w14:paraId="7082F567" w14:textId="33119A40">
      <w:pPr>
        <w:rPr>
          <w:color w:val="000000"/>
          <w:szCs w:val="22"/>
        </w:rPr>
      </w:pPr>
      <w:r w:rsidRPr="0040771E">
        <w:rPr>
          <w:szCs w:val="22"/>
        </w:rPr>
        <w:t>After a median follow</w:t>
      </w:r>
      <w:r w:rsidRPr="0040771E">
        <w:rPr>
          <w:szCs w:val="22"/>
        </w:rPr>
        <w:noBreakHyphen/>
        <w:t>up of 40 months, D</w:t>
      </w:r>
      <w:r w:rsidRPr="0040771E">
        <w:rPr>
          <w:szCs w:val="22"/>
        </w:rPr>
        <w:noBreakHyphen/>
        <w:t>VMP has shown an OS advantage over the VMP arm (HR=0.60; 95% CI: 0.46, 0.80; p=0.0003), representing a 40% reduction in the risk of death in patients treated in the D</w:t>
      </w:r>
      <w:r w:rsidRPr="0040771E">
        <w:rPr>
          <w:szCs w:val="22"/>
        </w:rPr>
        <w:noBreakHyphen/>
        <w:t>VMP arm.</w:t>
      </w:r>
      <w:r>
        <w:rPr>
          <w:szCs w:val="22"/>
        </w:rPr>
        <w:t xml:space="preserve"> </w:t>
      </w:r>
      <w:r w:rsidRPr="00263967">
        <w:rPr>
          <w:color w:val="000000"/>
          <w:szCs w:val="22"/>
        </w:rPr>
        <w:t>After a median follow-up of 87 months, the median OS was 83 months (95% CI: 72.5, NE) in the D-VMP arm and 53.6 months (95% CI: 46.3, 60.9) in the VMP arm.</w:t>
      </w:r>
    </w:p>
    <w:p w:rsidR="007E2BC7" w:rsidRPr="0040771E" w14:paraId="5CF5C529" w14:textId="6B0D5139">
      <w:pPr>
        <w:pStyle w:val="BodyText12"/>
        <w:spacing w:after="0" w:line="240" w:lineRule="auto"/>
        <w:jc w:val="left"/>
        <w:rPr>
          <w:noProof/>
          <w:sz w:val="22"/>
          <w:szCs w:val="22"/>
          <w:lang w:val="en-GB"/>
        </w:rPr>
      </w:pPr>
      <w:r w:rsidRPr="0040771E">
        <w:rPr>
          <w:noProof/>
          <w:sz w:val="22"/>
          <w:szCs w:val="22"/>
          <w:lang w:val="en-GB"/>
        </w:rPr>
        <w:t>.</w:t>
      </w:r>
    </w:p>
    <w:p w:rsidR="007E2BC7" w:rsidRPr="0040771E" w14:paraId="5B999474" w14:textId="77777777">
      <w:pPr>
        <w:pStyle w:val="BodyText12"/>
        <w:spacing w:after="0" w:line="240" w:lineRule="auto"/>
        <w:jc w:val="left"/>
        <w:rPr>
          <w:noProof/>
          <w:sz w:val="22"/>
          <w:szCs w:val="22"/>
          <w:lang w:val="en-GB"/>
        </w:rPr>
      </w:pPr>
    </w:p>
    <w:p w:rsidR="007E2BC7" w14:paraId="2DE108D3" w14:textId="5D2E4EB3">
      <w:pPr>
        <w:pStyle w:val="Caption"/>
        <w:spacing w:before="0" w:after="0"/>
        <w:rPr>
          <w:noProof/>
          <w:lang w:val="en-GB"/>
        </w:rPr>
      </w:pPr>
      <w:r w:rsidRPr="0040771E">
        <w:rPr>
          <w:noProof/>
          <w:lang w:val="en-GB"/>
        </w:rPr>
        <w:t>Figure</w:t>
      </w:r>
      <w:r w:rsidR="00CE63D9">
        <w:rPr>
          <w:noProof/>
          <w:lang w:val="en-GB"/>
        </w:rPr>
        <w:t xml:space="preserve"> </w:t>
      </w:r>
      <w:r w:rsidRPr="0040771E">
        <w:rPr>
          <w:noProof/>
          <w:lang w:val="en-GB"/>
        </w:rPr>
        <w:t>4:</w:t>
      </w:r>
      <w:r w:rsidRPr="0040771E">
        <w:rPr>
          <w:noProof/>
          <w:lang w:val="en-GB"/>
        </w:rPr>
        <w:tab/>
        <w:t>Kaplan-Meier curve of OS in study MMY3007</w:t>
      </w:r>
    </w:p>
    <w:p w:rsidR="00263967" w:rsidP="00263967" w14:paraId="2B170CA4" w14:textId="77777777"/>
    <w:p w:rsidR="00263967" w:rsidRPr="00263967" w:rsidP="00263967" w14:paraId="529FA6F6" w14:textId="58E5D2A4">
      <w:r>
        <w:drawing>
          <wp:inline distT="0" distB="0" distL="0" distR="0">
            <wp:extent cx="5267325" cy="4572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241529" name="Picture 11"/>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267325" cy="4572000"/>
                    </a:xfrm>
                    <a:prstGeom prst="rect">
                      <a:avLst/>
                    </a:prstGeom>
                    <a:noFill/>
                    <a:ln>
                      <a:noFill/>
                    </a:ln>
                  </pic:spPr>
                </pic:pic>
              </a:graphicData>
            </a:graphic>
          </wp:inline>
        </w:drawing>
      </w:r>
    </w:p>
    <w:p w:rsidR="007E2BC7" w:rsidRPr="0040771E" w14:paraId="2D1C4299" w14:textId="77777777">
      <w:pPr>
        <w:keepNext/>
      </w:pPr>
    </w:p>
    <w:p w:rsidR="007E2BC7" w:rsidRPr="0040771E" w14:paraId="3033A70C" w14:textId="5D5F532B">
      <w:pPr>
        <w:tabs>
          <w:tab w:val="clear" w:pos="567"/>
          <w:tab w:val="left" w:pos="1152"/>
        </w:tabs>
        <w:ind w:left="1152" w:hanging="1152"/>
      </w:pPr>
    </w:p>
    <w:p w:rsidR="007E2BC7" w:rsidRPr="0040771E" w14:paraId="489C4B6E" w14:textId="77777777">
      <w:pPr>
        <w:rPr>
          <w:bCs/>
          <w:iCs/>
          <w:szCs w:val="22"/>
        </w:rPr>
      </w:pPr>
    </w:p>
    <w:p w:rsidR="007E2BC7" w:rsidRPr="0040771E" w14:paraId="2F068D29" w14:textId="77777777">
      <w:r w:rsidRPr="0040771E">
        <w:t>Additional efficacy results from study MMY3007 are presented in table </w:t>
      </w:r>
      <w:r w:rsidRPr="0040771E">
        <w:rPr>
          <w:bCs/>
          <w:iCs/>
          <w:szCs w:val="22"/>
        </w:rPr>
        <w:t>8</w:t>
      </w:r>
      <w:r w:rsidRPr="0040771E">
        <w:t xml:space="preserve"> below.</w:t>
      </w:r>
    </w:p>
    <w:p w:rsidR="007E2BC7" w:rsidRPr="0040771E" w14:paraId="29621B56" w14:textId="77777777"/>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91"/>
        <w:gridCol w:w="1885"/>
        <w:gridCol w:w="2596"/>
      </w:tblGrid>
      <w:tr w14:paraId="561D56EC" w14:textId="77777777">
        <w:tblPrEx>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9072" w:type="dxa"/>
            <w:gridSpan w:val="3"/>
            <w:tcBorders>
              <w:top w:val="nil"/>
              <w:left w:val="nil"/>
              <w:bottom w:val="single" w:sz="4" w:space="0" w:color="auto"/>
              <w:right w:val="nil"/>
            </w:tcBorders>
          </w:tcPr>
          <w:p w:rsidR="007E2BC7" w:rsidRPr="0040771E" w14:paraId="33BF89FC" w14:textId="77777777">
            <w:pPr>
              <w:pStyle w:val="Caption"/>
              <w:spacing w:before="0" w:after="0"/>
              <w:rPr>
                <w:sz w:val="22"/>
                <w:lang w:val="en-GB"/>
              </w:rPr>
            </w:pPr>
            <w:r w:rsidRPr="0040771E">
              <w:rPr>
                <w:sz w:val="22"/>
                <w:lang w:val="en-GB"/>
              </w:rPr>
              <w:t>Table </w:t>
            </w:r>
            <w:r w:rsidRPr="0040771E">
              <w:rPr>
                <w:noProof/>
                <w:sz w:val="22"/>
                <w:szCs w:val="22"/>
                <w:lang w:val="en-GB"/>
              </w:rPr>
              <w:t>8</w:t>
            </w:r>
            <w:r w:rsidRPr="0040771E">
              <w:rPr>
                <w:sz w:val="22"/>
                <w:lang w:val="en-GB"/>
              </w:rPr>
              <w:t>:</w:t>
            </w:r>
            <w:r w:rsidRPr="0040771E">
              <w:rPr>
                <w:sz w:val="22"/>
                <w:lang w:val="en-GB"/>
              </w:rPr>
              <w:tab/>
              <w:t>Additional efficacy results from study MMY3007</w:t>
            </w:r>
            <w:r w:rsidRPr="0040771E">
              <w:rPr>
                <w:sz w:val="22"/>
                <w:vertAlign w:val="superscript"/>
                <w:lang w:val="en-GB"/>
              </w:rPr>
              <w:t>a</w:t>
            </w:r>
          </w:p>
        </w:tc>
      </w:tr>
      <w:tr w14:paraId="10A6BF12" w14:textId="77777777">
        <w:tblPrEx>
          <w:tblW w:w="9072" w:type="dxa"/>
          <w:jc w:val="center"/>
          <w:tblLook w:val="04A0"/>
        </w:tblPrEx>
        <w:trPr>
          <w:cantSplit/>
          <w:jc w:val="center"/>
        </w:trPr>
        <w:tc>
          <w:tcPr>
            <w:tcW w:w="4591" w:type="dxa"/>
            <w:tcBorders>
              <w:top w:val="single" w:sz="4" w:space="0" w:color="auto"/>
              <w:bottom w:val="single" w:sz="4" w:space="0" w:color="auto"/>
            </w:tcBorders>
          </w:tcPr>
          <w:p w:rsidR="007E2BC7" w:rsidRPr="0040771E" w14:paraId="3E9C756D" w14:textId="77777777">
            <w:pPr>
              <w:keepNext/>
              <w:outlineLvl w:val="0"/>
              <w:rPr>
                <w:b/>
                <w:szCs w:val="22"/>
              </w:rPr>
            </w:pPr>
          </w:p>
        </w:tc>
        <w:tc>
          <w:tcPr>
            <w:tcW w:w="1885" w:type="dxa"/>
            <w:tcBorders>
              <w:top w:val="single" w:sz="4" w:space="0" w:color="auto"/>
              <w:bottom w:val="single" w:sz="4" w:space="0" w:color="auto"/>
            </w:tcBorders>
          </w:tcPr>
          <w:p w:rsidR="007E2BC7" w:rsidRPr="0040771E" w14:paraId="13519A56" w14:textId="77777777">
            <w:pPr>
              <w:keepNext/>
              <w:outlineLvl w:val="0"/>
              <w:rPr>
                <w:b/>
                <w:szCs w:val="22"/>
              </w:rPr>
            </w:pPr>
            <w:r w:rsidRPr="0040771E">
              <w:rPr>
                <w:b/>
                <w:szCs w:val="22"/>
              </w:rPr>
              <w:t>D-VMP (n=350)</w:t>
            </w:r>
          </w:p>
        </w:tc>
        <w:tc>
          <w:tcPr>
            <w:tcW w:w="2596" w:type="dxa"/>
            <w:tcBorders>
              <w:top w:val="single" w:sz="4" w:space="0" w:color="auto"/>
              <w:bottom w:val="single" w:sz="4" w:space="0" w:color="auto"/>
            </w:tcBorders>
          </w:tcPr>
          <w:p w:rsidR="007E2BC7" w:rsidRPr="0040771E" w14:paraId="3C9A9083" w14:textId="77777777">
            <w:pPr>
              <w:keepNext/>
              <w:outlineLvl w:val="0"/>
              <w:rPr>
                <w:b/>
                <w:szCs w:val="22"/>
              </w:rPr>
            </w:pPr>
            <w:r w:rsidRPr="0040771E">
              <w:rPr>
                <w:b/>
                <w:szCs w:val="22"/>
              </w:rPr>
              <w:t>VMP (n=356)</w:t>
            </w:r>
          </w:p>
        </w:tc>
      </w:tr>
      <w:tr w14:paraId="036ED59F" w14:textId="77777777">
        <w:tblPrEx>
          <w:tblW w:w="9072" w:type="dxa"/>
          <w:jc w:val="center"/>
          <w:tblLook w:val="04A0"/>
        </w:tblPrEx>
        <w:trPr>
          <w:cantSplit/>
          <w:jc w:val="center"/>
        </w:trPr>
        <w:tc>
          <w:tcPr>
            <w:tcW w:w="4591" w:type="dxa"/>
            <w:tcBorders>
              <w:top w:val="single" w:sz="4" w:space="0" w:color="auto"/>
              <w:left w:val="single" w:sz="4" w:space="0" w:color="auto"/>
              <w:bottom w:val="nil"/>
              <w:right w:val="single" w:sz="4" w:space="0" w:color="auto"/>
            </w:tcBorders>
          </w:tcPr>
          <w:p w:rsidR="007E2BC7" w:rsidRPr="00591F9E" w14:paraId="67FCC1F8" w14:textId="77777777">
            <w:pPr>
              <w:keepNext/>
              <w:outlineLvl w:val="0"/>
              <w:rPr>
                <w:lang w:val="pt-BR"/>
              </w:rPr>
            </w:pPr>
            <w:r w:rsidRPr="00591F9E">
              <w:rPr>
                <w:lang w:val="pt-BR"/>
              </w:rPr>
              <w:t>Overall response (sCR+CR+VGPR+PR) [n(%)]</w:t>
            </w:r>
          </w:p>
        </w:tc>
        <w:tc>
          <w:tcPr>
            <w:tcW w:w="1885" w:type="dxa"/>
          </w:tcPr>
          <w:p w:rsidR="007E2BC7" w:rsidRPr="0040771E" w14:paraId="66AA3C48" w14:textId="77777777">
            <w:pPr>
              <w:keepNext/>
              <w:outlineLvl w:val="0"/>
              <w:rPr>
                <w:szCs w:val="22"/>
              </w:rPr>
            </w:pPr>
            <w:r w:rsidRPr="0040771E">
              <w:rPr>
                <w:color w:val="000000"/>
                <w:szCs w:val="22"/>
                <w:lang w:eastAsia="zh-CN"/>
              </w:rPr>
              <w:t>318 (90.9)</w:t>
            </w:r>
          </w:p>
        </w:tc>
        <w:tc>
          <w:tcPr>
            <w:tcW w:w="2596" w:type="dxa"/>
          </w:tcPr>
          <w:p w:rsidR="007E2BC7" w:rsidRPr="0040771E" w14:paraId="2BD7734B" w14:textId="77777777">
            <w:pPr>
              <w:keepNext/>
              <w:outlineLvl w:val="0"/>
              <w:rPr>
                <w:szCs w:val="22"/>
              </w:rPr>
            </w:pPr>
            <w:r w:rsidRPr="0040771E">
              <w:rPr>
                <w:szCs w:val="22"/>
              </w:rPr>
              <w:t>263 (73.9)</w:t>
            </w:r>
          </w:p>
        </w:tc>
      </w:tr>
      <w:tr w14:paraId="79F367F6" w14:textId="77777777">
        <w:tblPrEx>
          <w:tblW w:w="9072" w:type="dxa"/>
          <w:jc w:val="center"/>
          <w:tblLook w:val="04A0"/>
        </w:tblPrEx>
        <w:trPr>
          <w:cantSplit/>
          <w:jc w:val="center"/>
        </w:trPr>
        <w:tc>
          <w:tcPr>
            <w:tcW w:w="4591" w:type="dxa"/>
            <w:tcBorders>
              <w:top w:val="nil"/>
              <w:left w:val="single" w:sz="4" w:space="0" w:color="auto"/>
              <w:bottom w:val="nil"/>
              <w:right w:val="single" w:sz="4" w:space="0" w:color="auto"/>
            </w:tcBorders>
          </w:tcPr>
          <w:p w:rsidR="007E2BC7" w:rsidRPr="0040771E" w14:paraId="4E05F247" w14:textId="77777777">
            <w:pPr>
              <w:keepNext/>
              <w:ind w:left="567"/>
              <w:outlineLvl w:val="0"/>
            </w:pPr>
            <w:r w:rsidRPr="0040771E">
              <w:rPr>
                <w:szCs w:val="22"/>
              </w:rPr>
              <w:t>p-value</w:t>
            </w:r>
            <w:r w:rsidRPr="0040771E">
              <w:rPr>
                <w:szCs w:val="22"/>
                <w:vertAlign w:val="superscript"/>
              </w:rPr>
              <w:t>b</w:t>
            </w:r>
          </w:p>
        </w:tc>
        <w:tc>
          <w:tcPr>
            <w:tcW w:w="1885" w:type="dxa"/>
          </w:tcPr>
          <w:p w:rsidR="007E2BC7" w:rsidRPr="0040771E" w14:paraId="552C6C80" w14:textId="77777777">
            <w:pPr>
              <w:keepNext/>
              <w:outlineLvl w:val="0"/>
              <w:rPr>
                <w:szCs w:val="22"/>
              </w:rPr>
            </w:pPr>
            <w:r w:rsidRPr="0040771E">
              <w:rPr>
                <w:szCs w:val="22"/>
              </w:rPr>
              <w:t xml:space="preserve">&lt;0.0001 </w:t>
            </w:r>
          </w:p>
        </w:tc>
        <w:tc>
          <w:tcPr>
            <w:tcW w:w="2596" w:type="dxa"/>
            <w:tcBorders>
              <w:top w:val="nil"/>
              <w:left w:val="single" w:sz="4" w:space="0" w:color="auto"/>
              <w:bottom w:val="nil"/>
              <w:right w:val="single" w:sz="4" w:space="0" w:color="auto"/>
            </w:tcBorders>
            <w:vAlign w:val="bottom"/>
          </w:tcPr>
          <w:p w:rsidR="007E2BC7" w:rsidRPr="0040771E" w14:paraId="244B5B1F" w14:textId="77777777">
            <w:pPr>
              <w:keepNext/>
              <w:outlineLvl w:val="0"/>
              <w:rPr>
                <w:szCs w:val="22"/>
              </w:rPr>
            </w:pPr>
          </w:p>
        </w:tc>
      </w:tr>
      <w:tr w14:paraId="2F11FAFF" w14:textId="77777777">
        <w:tblPrEx>
          <w:tblW w:w="9072" w:type="dxa"/>
          <w:jc w:val="center"/>
          <w:tblLook w:val="04A0"/>
        </w:tblPrEx>
        <w:trPr>
          <w:cantSplit/>
          <w:jc w:val="center"/>
        </w:trPr>
        <w:tc>
          <w:tcPr>
            <w:tcW w:w="4591" w:type="dxa"/>
            <w:tcBorders>
              <w:top w:val="nil"/>
              <w:left w:val="single" w:sz="4" w:space="0" w:color="auto"/>
              <w:bottom w:val="nil"/>
              <w:right w:val="single" w:sz="4" w:space="0" w:color="auto"/>
            </w:tcBorders>
          </w:tcPr>
          <w:p w:rsidR="007E2BC7" w:rsidRPr="0040771E" w14:paraId="09E82EF3" w14:textId="77777777">
            <w:pPr>
              <w:keepNext/>
              <w:ind w:left="567"/>
              <w:outlineLvl w:val="0"/>
              <w:rPr>
                <w:szCs w:val="22"/>
              </w:rPr>
            </w:pPr>
            <w:r w:rsidRPr="0040771E">
              <w:rPr>
                <w:szCs w:val="22"/>
              </w:rPr>
              <w:t>Stringent complete response (sCR) [n(%)]</w:t>
            </w:r>
          </w:p>
        </w:tc>
        <w:tc>
          <w:tcPr>
            <w:tcW w:w="1885" w:type="dxa"/>
          </w:tcPr>
          <w:p w:rsidR="007E2BC7" w:rsidRPr="0040771E" w14:paraId="2B5DC704" w14:textId="77777777">
            <w:pPr>
              <w:keepNext/>
              <w:outlineLvl w:val="0"/>
              <w:rPr>
                <w:szCs w:val="22"/>
              </w:rPr>
            </w:pPr>
            <w:r w:rsidRPr="0040771E">
              <w:rPr>
                <w:szCs w:val="22"/>
              </w:rPr>
              <w:t>63 (18.0)</w:t>
            </w:r>
          </w:p>
        </w:tc>
        <w:tc>
          <w:tcPr>
            <w:tcW w:w="2596" w:type="dxa"/>
          </w:tcPr>
          <w:p w:rsidR="007E2BC7" w:rsidRPr="0040771E" w14:paraId="47A8BAC5" w14:textId="77777777">
            <w:pPr>
              <w:keepNext/>
              <w:outlineLvl w:val="0"/>
              <w:rPr>
                <w:szCs w:val="22"/>
              </w:rPr>
            </w:pPr>
            <w:r w:rsidRPr="0040771E">
              <w:rPr>
                <w:szCs w:val="22"/>
              </w:rPr>
              <w:t>25 (7.0)</w:t>
            </w:r>
          </w:p>
        </w:tc>
      </w:tr>
      <w:tr w14:paraId="3786EBD6" w14:textId="77777777">
        <w:tblPrEx>
          <w:tblW w:w="9072" w:type="dxa"/>
          <w:jc w:val="center"/>
          <w:tblLook w:val="04A0"/>
        </w:tblPrEx>
        <w:trPr>
          <w:cantSplit/>
          <w:jc w:val="center"/>
        </w:trPr>
        <w:tc>
          <w:tcPr>
            <w:tcW w:w="4591" w:type="dxa"/>
            <w:tcBorders>
              <w:top w:val="nil"/>
              <w:left w:val="single" w:sz="4" w:space="0" w:color="auto"/>
              <w:bottom w:val="nil"/>
              <w:right w:val="single" w:sz="4" w:space="0" w:color="auto"/>
            </w:tcBorders>
          </w:tcPr>
          <w:p w:rsidR="007E2BC7" w:rsidRPr="0040771E" w14:paraId="5FD6E3E6" w14:textId="77777777">
            <w:pPr>
              <w:keepNext/>
              <w:ind w:left="567"/>
              <w:outlineLvl w:val="0"/>
              <w:rPr>
                <w:szCs w:val="22"/>
              </w:rPr>
            </w:pPr>
            <w:r w:rsidRPr="0040771E">
              <w:rPr>
                <w:szCs w:val="22"/>
              </w:rPr>
              <w:t>Complete response (CR) [n(%)]</w:t>
            </w:r>
          </w:p>
        </w:tc>
        <w:tc>
          <w:tcPr>
            <w:tcW w:w="1885" w:type="dxa"/>
          </w:tcPr>
          <w:p w:rsidR="007E2BC7" w:rsidRPr="0040771E" w14:paraId="51F1D189" w14:textId="77777777">
            <w:pPr>
              <w:keepNext/>
              <w:outlineLvl w:val="0"/>
              <w:rPr>
                <w:szCs w:val="22"/>
              </w:rPr>
            </w:pPr>
            <w:r w:rsidRPr="0040771E">
              <w:rPr>
                <w:szCs w:val="22"/>
              </w:rPr>
              <w:t>86 (24.6)</w:t>
            </w:r>
          </w:p>
        </w:tc>
        <w:tc>
          <w:tcPr>
            <w:tcW w:w="2596" w:type="dxa"/>
          </w:tcPr>
          <w:p w:rsidR="007E2BC7" w:rsidRPr="0040771E" w14:paraId="45004C96" w14:textId="77777777">
            <w:pPr>
              <w:keepNext/>
              <w:outlineLvl w:val="0"/>
              <w:rPr>
                <w:szCs w:val="22"/>
              </w:rPr>
            </w:pPr>
            <w:r w:rsidRPr="0040771E">
              <w:rPr>
                <w:szCs w:val="22"/>
              </w:rPr>
              <w:t>62 (17.4)</w:t>
            </w:r>
          </w:p>
        </w:tc>
      </w:tr>
      <w:tr w14:paraId="5F9E3CF3" w14:textId="77777777">
        <w:tblPrEx>
          <w:tblW w:w="9072" w:type="dxa"/>
          <w:jc w:val="center"/>
          <w:tblLook w:val="04A0"/>
        </w:tblPrEx>
        <w:trPr>
          <w:cantSplit/>
          <w:jc w:val="center"/>
        </w:trPr>
        <w:tc>
          <w:tcPr>
            <w:tcW w:w="4591" w:type="dxa"/>
            <w:tcBorders>
              <w:top w:val="nil"/>
              <w:left w:val="single" w:sz="4" w:space="0" w:color="auto"/>
              <w:bottom w:val="nil"/>
              <w:right w:val="single" w:sz="4" w:space="0" w:color="auto"/>
            </w:tcBorders>
          </w:tcPr>
          <w:p w:rsidR="007E2BC7" w:rsidRPr="0040771E" w14:paraId="4E12464F" w14:textId="77777777">
            <w:pPr>
              <w:keepNext/>
              <w:ind w:left="567"/>
              <w:outlineLvl w:val="0"/>
              <w:rPr>
                <w:szCs w:val="22"/>
              </w:rPr>
            </w:pPr>
            <w:r w:rsidRPr="0040771E">
              <w:rPr>
                <w:szCs w:val="22"/>
              </w:rPr>
              <w:t>Very good partial response (VGPR) [n(%)]</w:t>
            </w:r>
          </w:p>
        </w:tc>
        <w:tc>
          <w:tcPr>
            <w:tcW w:w="1885" w:type="dxa"/>
          </w:tcPr>
          <w:p w:rsidR="007E2BC7" w:rsidRPr="0040771E" w14:paraId="2E202F2C" w14:textId="77777777">
            <w:pPr>
              <w:keepNext/>
              <w:outlineLvl w:val="0"/>
              <w:rPr>
                <w:szCs w:val="22"/>
              </w:rPr>
            </w:pPr>
            <w:r w:rsidRPr="0040771E">
              <w:rPr>
                <w:szCs w:val="22"/>
              </w:rPr>
              <w:t>100 (28.6)</w:t>
            </w:r>
          </w:p>
        </w:tc>
        <w:tc>
          <w:tcPr>
            <w:tcW w:w="2596" w:type="dxa"/>
          </w:tcPr>
          <w:p w:rsidR="007E2BC7" w:rsidRPr="0040771E" w14:paraId="23BE8919" w14:textId="77777777">
            <w:pPr>
              <w:keepNext/>
              <w:outlineLvl w:val="0"/>
              <w:rPr>
                <w:szCs w:val="22"/>
              </w:rPr>
            </w:pPr>
            <w:r w:rsidRPr="0040771E">
              <w:rPr>
                <w:szCs w:val="22"/>
              </w:rPr>
              <w:t>90 (25.3)</w:t>
            </w:r>
          </w:p>
        </w:tc>
      </w:tr>
      <w:tr w14:paraId="5776C603" w14:textId="77777777">
        <w:tblPrEx>
          <w:tblW w:w="9072" w:type="dxa"/>
          <w:jc w:val="center"/>
          <w:tblLook w:val="04A0"/>
        </w:tblPrEx>
        <w:trPr>
          <w:cantSplit/>
          <w:jc w:val="center"/>
        </w:trPr>
        <w:tc>
          <w:tcPr>
            <w:tcW w:w="4591" w:type="dxa"/>
            <w:tcBorders>
              <w:top w:val="nil"/>
              <w:left w:val="single" w:sz="4" w:space="0" w:color="auto"/>
              <w:bottom w:val="single" w:sz="4" w:space="0" w:color="auto"/>
              <w:right w:val="single" w:sz="4" w:space="0" w:color="auto"/>
            </w:tcBorders>
          </w:tcPr>
          <w:p w:rsidR="007E2BC7" w:rsidRPr="0040771E" w14:paraId="5495314F" w14:textId="77777777">
            <w:pPr>
              <w:keepNext/>
              <w:ind w:left="567"/>
              <w:outlineLvl w:val="0"/>
            </w:pPr>
            <w:r w:rsidRPr="0040771E">
              <w:rPr>
                <w:szCs w:val="22"/>
              </w:rPr>
              <w:t>Partial response (PR) [n(%)]</w:t>
            </w:r>
          </w:p>
        </w:tc>
        <w:tc>
          <w:tcPr>
            <w:tcW w:w="1885" w:type="dxa"/>
          </w:tcPr>
          <w:p w:rsidR="007E2BC7" w:rsidRPr="0040771E" w14:paraId="7A918747" w14:textId="77777777">
            <w:pPr>
              <w:keepNext/>
              <w:outlineLvl w:val="0"/>
            </w:pPr>
            <w:r w:rsidRPr="0040771E">
              <w:rPr>
                <w:szCs w:val="22"/>
              </w:rPr>
              <w:t>69 (19.7)</w:t>
            </w:r>
          </w:p>
        </w:tc>
        <w:tc>
          <w:tcPr>
            <w:tcW w:w="2596" w:type="dxa"/>
          </w:tcPr>
          <w:p w:rsidR="007E2BC7" w:rsidRPr="0040771E" w14:paraId="3BFF97FE" w14:textId="77777777">
            <w:pPr>
              <w:keepNext/>
              <w:outlineLvl w:val="0"/>
            </w:pPr>
            <w:r w:rsidRPr="0040771E">
              <w:rPr>
                <w:szCs w:val="22"/>
              </w:rPr>
              <w:t>86 (24.2)</w:t>
            </w:r>
          </w:p>
        </w:tc>
      </w:tr>
      <w:tr w14:paraId="0B4415E2" w14:textId="77777777">
        <w:tblPrEx>
          <w:tblW w:w="9072" w:type="dxa"/>
          <w:jc w:val="center"/>
          <w:tblLook w:val="04A0"/>
        </w:tblPrEx>
        <w:trPr>
          <w:cantSplit/>
          <w:jc w:val="center"/>
        </w:trPr>
        <w:tc>
          <w:tcPr>
            <w:tcW w:w="4591" w:type="dxa"/>
            <w:tcBorders>
              <w:top w:val="single" w:sz="4" w:space="0" w:color="auto"/>
              <w:left w:val="single" w:sz="4" w:space="0" w:color="auto"/>
              <w:bottom w:val="nil"/>
              <w:right w:val="single" w:sz="4" w:space="0" w:color="auto"/>
            </w:tcBorders>
          </w:tcPr>
          <w:p w:rsidR="007E2BC7" w:rsidRPr="0040771E" w14:paraId="029739A9" w14:textId="77777777">
            <w:pPr>
              <w:keepNext/>
              <w:outlineLvl w:val="0"/>
            </w:pPr>
            <w:r w:rsidRPr="0040771E">
              <w:rPr>
                <w:szCs w:val="22"/>
              </w:rPr>
              <w:t>MRD negativity rate (95% CI)</w:t>
            </w:r>
            <w:r w:rsidRPr="0040771E">
              <w:rPr>
                <w:szCs w:val="22"/>
                <w:vertAlign w:val="superscript"/>
              </w:rPr>
              <w:t xml:space="preserve"> c </w:t>
            </w:r>
            <w:r w:rsidRPr="0040771E">
              <w:rPr>
                <w:szCs w:val="22"/>
              </w:rPr>
              <w:t>(%)</w:t>
            </w:r>
          </w:p>
        </w:tc>
        <w:tc>
          <w:tcPr>
            <w:tcW w:w="1885" w:type="dxa"/>
          </w:tcPr>
          <w:p w:rsidR="007E2BC7" w:rsidRPr="0040771E" w14:paraId="7E8BB054" w14:textId="77777777">
            <w:pPr>
              <w:keepNext/>
              <w:outlineLvl w:val="0"/>
            </w:pPr>
            <w:r w:rsidRPr="0040771E">
              <w:rPr>
                <w:szCs w:val="22"/>
              </w:rPr>
              <w:t>22.3 (18.0, 27.0)</w:t>
            </w:r>
          </w:p>
        </w:tc>
        <w:tc>
          <w:tcPr>
            <w:tcW w:w="2596" w:type="dxa"/>
          </w:tcPr>
          <w:p w:rsidR="007E2BC7" w:rsidRPr="0040771E" w14:paraId="4FF87F9A" w14:textId="77777777">
            <w:pPr>
              <w:keepNext/>
              <w:outlineLvl w:val="0"/>
            </w:pPr>
            <w:r w:rsidRPr="0040771E">
              <w:rPr>
                <w:szCs w:val="22"/>
              </w:rPr>
              <w:t>6.2 (3.9, 9.2)</w:t>
            </w:r>
          </w:p>
        </w:tc>
      </w:tr>
      <w:tr w14:paraId="4E0016E3" w14:textId="77777777">
        <w:tblPrEx>
          <w:tblW w:w="9072" w:type="dxa"/>
          <w:jc w:val="center"/>
          <w:tblLook w:val="04A0"/>
        </w:tblPrEx>
        <w:trPr>
          <w:cantSplit/>
          <w:jc w:val="center"/>
        </w:trPr>
        <w:tc>
          <w:tcPr>
            <w:tcW w:w="4591" w:type="dxa"/>
            <w:tcBorders>
              <w:top w:val="nil"/>
              <w:left w:val="single" w:sz="4" w:space="0" w:color="auto"/>
              <w:bottom w:val="nil"/>
              <w:right w:val="single" w:sz="4" w:space="0" w:color="auto"/>
            </w:tcBorders>
          </w:tcPr>
          <w:p w:rsidR="007E2BC7" w:rsidRPr="0040771E" w14:paraId="4E0837E6" w14:textId="77777777">
            <w:pPr>
              <w:keepNext/>
              <w:ind w:left="567"/>
              <w:outlineLvl w:val="0"/>
            </w:pPr>
            <w:r w:rsidRPr="0040771E">
              <w:rPr>
                <w:szCs w:val="22"/>
              </w:rPr>
              <w:t>Odds ratio with 95% CI</w:t>
            </w:r>
            <w:r w:rsidRPr="0040771E">
              <w:rPr>
                <w:szCs w:val="22"/>
                <w:vertAlign w:val="superscript"/>
              </w:rPr>
              <w:t>d</w:t>
            </w:r>
          </w:p>
        </w:tc>
        <w:tc>
          <w:tcPr>
            <w:tcW w:w="1885" w:type="dxa"/>
          </w:tcPr>
          <w:p w:rsidR="007E2BC7" w:rsidRPr="0040771E" w14:paraId="2C554042" w14:textId="77777777">
            <w:pPr>
              <w:keepNext/>
              <w:outlineLvl w:val="0"/>
            </w:pPr>
            <w:r w:rsidRPr="0040771E">
              <w:rPr>
                <w:szCs w:val="22"/>
              </w:rPr>
              <w:t>4.36 (2.64, 7.21)</w:t>
            </w:r>
          </w:p>
        </w:tc>
        <w:tc>
          <w:tcPr>
            <w:tcW w:w="2596" w:type="dxa"/>
          </w:tcPr>
          <w:p w:rsidR="007E2BC7" w:rsidRPr="0040771E" w14:paraId="5D8EE550" w14:textId="77777777">
            <w:pPr>
              <w:keepNext/>
              <w:outlineLvl w:val="0"/>
            </w:pPr>
          </w:p>
        </w:tc>
      </w:tr>
      <w:tr w14:paraId="1793D4F6" w14:textId="77777777">
        <w:tblPrEx>
          <w:tblW w:w="9072" w:type="dxa"/>
          <w:jc w:val="center"/>
          <w:tblLook w:val="04A0"/>
        </w:tblPrEx>
        <w:trPr>
          <w:cantSplit/>
          <w:jc w:val="center"/>
        </w:trPr>
        <w:tc>
          <w:tcPr>
            <w:tcW w:w="4591" w:type="dxa"/>
            <w:tcBorders>
              <w:top w:val="nil"/>
              <w:left w:val="single" w:sz="4" w:space="0" w:color="auto"/>
              <w:bottom w:val="single" w:sz="4" w:space="0" w:color="auto"/>
              <w:right w:val="single" w:sz="4" w:space="0" w:color="auto"/>
            </w:tcBorders>
          </w:tcPr>
          <w:p w:rsidR="007E2BC7" w:rsidRPr="0040771E" w14:paraId="747AE0B9" w14:textId="77777777">
            <w:pPr>
              <w:keepNext/>
              <w:ind w:left="567"/>
              <w:outlineLvl w:val="0"/>
            </w:pPr>
            <w:r w:rsidRPr="0040771E">
              <w:rPr>
                <w:szCs w:val="22"/>
              </w:rPr>
              <w:t>p-value</w:t>
            </w:r>
            <w:r w:rsidRPr="0040771E">
              <w:rPr>
                <w:szCs w:val="22"/>
                <w:vertAlign w:val="superscript"/>
              </w:rPr>
              <w:t>e</w:t>
            </w:r>
          </w:p>
        </w:tc>
        <w:tc>
          <w:tcPr>
            <w:tcW w:w="1885" w:type="dxa"/>
          </w:tcPr>
          <w:p w:rsidR="007E2BC7" w:rsidRPr="0040771E" w14:paraId="290C0661" w14:textId="77777777">
            <w:pPr>
              <w:keepNext/>
              <w:outlineLvl w:val="0"/>
            </w:pPr>
            <w:r w:rsidRPr="0040771E">
              <w:rPr>
                <w:szCs w:val="22"/>
              </w:rPr>
              <w:t>&lt;0.0001</w:t>
            </w:r>
          </w:p>
        </w:tc>
        <w:tc>
          <w:tcPr>
            <w:tcW w:w="2596" w:type="dxa"/>
            <w:tcBorders>
              <w:top w:val="nil"/>
              <w:left w:val="single" w:sz="4" w:space="0" w:color="auto"/>
              <w:bottom w:val="single" w:sz="4" w:space="0" w:color="auto"/>
              <w:right w:val="single" w:sz="4" w:space="0" w:color="auto"/>
            </w:tcBorders>
          </w:tcPr>
          <w:p w:rsidR="007E2BC7" w:rsidRPr="0040771E" w14:paraId="4D5D83BD" w14:textId="77777777">
            <w:pPr>
              <w:keepNext/>
              <w:outlineLvl w:val="0"/>
            </w:pPr>
          </w:p>
        </w:tc>
      </w:tr>
      <w:tr w14:paraId="73A81A23" w14:textId="77777777">
        <w:tblPrEx>
          <w:tblW w:w="9072" w:type="dxa"/>
          <w:jc w:val="center"/>
          <w:tblLook w:val="04A0"/>
        </w:tblPrEx>
        <w:trPr>
          <w:cantSplit/>
          <w:jc w:val="center"/>
        </w:trPr>
        <w:tc>
          <w:tcPr>
            <w:tcW w:w="9072" w:type="dxa"/>
            <w:gridSpan w:val="3"/>
            <w:tcBorders>
              <w:top w:val="single" w:sz="4" w:space="0" w:color="auto"/>
              <w:left w:val="nil"/>
              <w:bottom w:val="nil"/>
              <w:right w:val="nil"/>
            </w:tcBorders>
          </w:tcPr>
          <w:p w:rsidR="007E2BC7" w:rsidRPr="0040771E" w14:paraId="1D5D990B" w14:textId="77777777">
            <w:pPr>
              <w:outlineLvl w:val="0"/>
              <w:rPr>
                <w:sz w:val="18"/>
                <w:szCs w:val="18"/>
              </w:rPr>
            </w:pPr>
            <w:r w:rsidRPr="0040771E">
              <w:rPr>
                <w:sz w:val="18"/>
                <w:szCs w:val="18"/>
              </w:rPr>
              <w:t>D-VMP=daratumumab-bortezomib-melphalan-prednisone; VMP=bortezomib-melphalan-prednisone; MRD=minimal residual disease; CI=confidence interval</w:t>
            </w:r>
          </w:p>
          <w:p w:rsidR="007E2BC7" w:rsidRPr="0040771E" w14:paraId="2AC4ECE6" w14:textId="77777777">
            <w:pPr>
              <w:tabs>
                <w:tab w:val="left" w:pos="284"/>
              </w:tabs>
              <w:ind w:left="284" w:hanging="284"/>
              <w:rPr>
                <w:sz w:val="18"/>
                <w:szCs w:val="18"/>
                <w:vertAlign w:val="superscript"/>
              </w:rPr>
            </w:pPr>
            <w:r w:rsidRPr="0040771E">
              <w:rPr>
                <w:sz w:val="18"/>
                <w:szCs w:val="18"/>
                <w:vertAlign w:val="superscript"/>
              </w:rPr>
              <w:t>a</w:t>
            </w:r>
            <w:r w:rsidRPr="0040771E">
              <w:rPr>
                <w:sz w:val="18"/>
                <w:szCs w:val="18"/>
              </w:rPr>
              <w:tab/>
              <w:t>Based on intent-to-treat population</w:t>
            </w:r>
          </w:p>
          <w:p w:rsidR="007E2BC7" w:rsidRPr="0040771E" w14:paraId="5FC10C58" w14:textId="77777777">
            <w:pPr>
              <w:tabs>
                <w:tab w:val="left" w:pos="284"/>
              </w:tabs>
              <w:ind w:left="284" w:hanging="284"/>
              <w:rPr>
                <w:sz w:val="18"/>
                <w:szCs w:val="18"/>
              </w:rPr>
            </w:pPr>
            <w:r w:rsidRPr="0040771E">
              <w:rPr>
                <w:sz w:val="18"/>
                <w:szCs w:val="18"/>
                <w:vertAlign w:val="superscript"/>
              </w:rPr>
              <w:t>b</w:t>
            </w:r>
            <w:r w:rsidRPr="0040771E">
              <w:rPr>
                <w:sz w:val="18"/>
                <w:szCs w:val="18"/>
              </w:rPr>
              <w:tab/>
              <w:t>p-value from Cochran Mantel-Haenszel Chi-Squared test.</w:t>
            </w:r>
          </w:p>
          <w:p w:rsidR="007E2BC7" w:rsidRPr="0040771E" w14:paraId="0C036F2D" w14:textId="77777777">
            <w:pPr>
              <w:tabs>
                <w:tab w:val="left" w:pos="284"/>
              </w:tabs>
              <w:ind w:left="284" w:hanging="284"/>
              <w:rPr>
                <w:sz w:val="18"/>
              </w:rPr>
            </w:pPr>
            <w:r w:rsidRPr="0040771E">
              <w:rPr>
                <w:sz w:val="18"/>
                <w:szCs w:val="18"/>
                <w:vertAlign w:val="superscript"/>
              </w:rPr>
              <w:t>c</w:t>
            </w:r>
            <w:r w:rsidRPr="0040771E">
              <w:rPr>
                <w:sz w:val="18"/>
              </w:rPr>
              <w:tab/>
            </w:r>
            <w:r w:rsidRPr="0040771E">
              <w:rPr>
                <w:sz w:val="18"/>
                <w:szCs w:val="18"/>
              </w:rPr>
              <w:t>Based on threshold of 10</w:t>
            </w:r>
            <w:r w:rsidRPr="0040771E">
              <w:rPr>
                <w:sz w:val="18"/>
                <w:szCs w:val="18"/>
                <w:vertAlign w:val="superscript"/>
              </w:rPr>
              <w:t>-5</w:t>
            </w:r>
          </w:p>
          <w:p w:rsidR="007E2BC7" w:rsidRPr="0040771E" w14:paraId="7ACCD7B4" w14:textId="77777777">
            <w:pPr>
              <w:tabs>
                <w:tab w:val="left" w:pos="284"/>
              </w:tabs>
              <w:ind w:left="284" w:hanging="284"/>
              <w:rPr>
                <w:sz w:val="18"/>
                <w:szCs w:val="18"/>
              </w:rPr>
            </w:pPr>
            <w:r w:rsidRPr="0040771E">
              <w:rPr>
                <w:sz w:val="18"/>
                <w:szCs w:val="18"/>
                <w:vertAlign w:val="superscript"/>
              </w:rPr>
              <w:t>d</w:t>
            </w:r>
            <w:r w:rsidRPr="0040771E">
              <w:rPr>
                <w:sz w:val="18"/>
                <w:szCs w:val="18"/>
              </w:rPr>
              <w:tab/>
              <w:t>A Mantel-Haenszel estimate of the common odds ratio for stratified tables is used. An odds ratio &gt;1 indicates an advantage for D-VMP.</w:t>
            </w:r>
          </w:p>
          <w:p w:rsidR="007E2BC7" w:rsidRPr="0040771E" w14:paraId="1F7C03BD" w14:textId="77777777">
            <w:pPr>
              <w:tabs>
                <w:tab w:val="left" w:pos="284"/>
                <w:tab w:val="clear" w:pos="567"/>
              </w:tabs>
              <w:ind w:left="284" w:hanging="284"/>
              <w:rPr>
                <w:sz w:val="18"/>
              </w:rPr>
            </w:pPr>
            <w:r w:rsidRPr="0040771E">
              <w:rPr>
                <w:sz w:val="18"/>
                <w:szCs w:val="18"/>
                <w:vertAlign w:val="superscript"/>
              </w:rPr>
              <w:t>e</w:t>
            </w:r>
            <w:r w:rsidRPr="0040771E">
              <w:rPr>
                <w:sz w:val="18"/>
                <w:szCs w:val="18"/>
              </w:rPr>
              <w:tab/>
              <w:t>p-value from Fisherʼs exact test.</w:t>
            </w:r>
          </w:p>
        </w:tc>
      </w:tr>
    </w:tbl>
    <w:p w:rsidR="007E2BC7" w:rsidRPr="0040771E" w14:paraId="12FF9E90" w14:textId="77777777"/>
    <w:p w:rsidR="007E2BC7" w:rsidRPr="0040771E" w14:paraId="7372B8E0" w14:textId="77777777">
      <w:r w:rsidRPr="0040771E">
        <w:t>In responders, the median time to response was 0.79 months (range: 0.4 to 15.5 months) in the D</w:t>
      </w:r>
      <w:r w:rsidRPr="0040771E">
        <w:noBreakHyphen/>
        <w:t>VMP group and 0.82 months (range: 0.7 to 12.6 months) in the VMP group. The median duration of response had not been reached in the D-VMP group and was 21.3 months (range: 18.4, not estimable) in the VMP group.</w:t>
      </w:r>
    </w:p>
    <w:p w:rsidR="007E2BC7" w:rsidRPr="0040771E" w14:paraId="132B5CEB" w14:textId="77777777">
      <w:pPr>
        <w:rPr>
          <w:u w:val="single"/>
        </w:rPr>
      </w:pPr>
    </w:p>
    <w:p w:rsidR="007E2BC7" w:rsidRPr="0040771E" w14:paraId="01985A73" w14:textId="77777777">
      <w:pPr>
        <w:rPr>
          <w:i/>
        </w:rPr>
      </w:pPr>
      <w:bookmarkStart w:id="35" w:name="_Hlk518400035"/>
      <w:bookmarkStart w:id="36" w:name="_Hlk518312668"/>
      <w:r w:rsidRPr="0040771E">
        <w:t>A subgroup analysis was performed on patients at least 70</w:t>
      </w:r>
      <w:r w:rsidRPr="0040771E">
        <w:rPr>
          <w:iCs/>
          <w:szCs w:val="22"/>
        </w:rPr>
        <w:t> </w:t>
      </w:r>
      <w:r w:rsidRPr="0040771E">
        <w:t>years old, or those 65-69 years old with ECOG performance score of 2, or aged less than 65</w:t>
      </w:r>
      <w:r w:rsidRPr="0040771E">
        <w:rPr>
          <w:iCs/>
          <w:szCs w:val="22"/>
        </w:rPr>
        <w:t> </w:t>
      </w:r>
      <w:r w:rsidRPr="0040771E">
        <w:t>years of age with significant comorbidity or ECOG performance score of 2 (D-VMP: n=273, VMP: n=270). The efficacy results in this subgroup were consistent with the overall population. In this subgroup, median PFS was not reached in the D-VMP group and was 17.9 months in the VMP group (HR=0.56; 95% CI: 0.42, 0.75; p &lt; 0.0001).</w:t>
      </w:r>
      <w:r w:rsidRPr="0040771E">
        <w:rPr>
          <w:bCs/>
          <w:iCs/>
          <w:szCs w:val="22"/>
        </w:rPr>
        <w:t xml:space="preserve"> </w:t>
      </w:r>
      <w:r w:rsidRPr="0040771E">
        <w:t>The overall response rate was 90% in the D</w:t>
      </w:r>
      <w:r w:rsidRPr="0040771E">
        <w:noBreakHyphen/>
        <w:t>VMP group and 74% in theVMP group (VGPR rate:29% in D</w:t>
      </w:r>
      <w:r w:rsidRPr="0040771E">
        <w:noBreakHyphen/>
        <w:t>VMP group and 26% in VMP group; CR: 22% in D</w:t>
      </w:r>
      <w:r w:rsidRPr="0040771E">
        <w:noBreakHyphen/>
        <w:t>VMP group and 18% in VMP group; sCR rate: 20% in D</w:t>
      </w:r>
      <w:r w:rsidRPr="0040771E">
        <w:noBreakHyphen/>
        <w:t>VMP group and 7% in VMP group). The safety results of this subgroup were consistent with the overall population. Furthermore, safety analysis of the subgroup of patients with an ECOG performance score of 2 (D-VMP: n=89, VMP: n=84), was also consistent with the overall population.</w:t>
      </w:r>
    </w:p>
    <w:p w:rsidR="007E2BC7" w:rsidRPr="0040771E" w14:paraId="4CD28E4C" w14:textId="77777777"/>
    <w:p w:rsidR="007E2BC7" w:rsidRPr="0040771E" w14:paraId="44A9CD01" w14:textId="77777777">
      <w:pPr>
        <w:rPr>
          <w:bCs/>
          <w:i/>
          <w:szCs w:val="22"/>
        </w:rPr>
      </w:pPr>
      <w:bookmarkStart w:id="37" w:name="_Hlk507673398"/>
      <w:r w:rsidRPr="0040771E">
        <w:rPr>
          <w:bCs/>
          <w:i/>
          <w:szCs w:val="22"/>
        </w:rPr>
        <w:t>Combination treatment with bortezomib, thalidomide and dexamethasone (VTd) in patients eligible for autologous stem cell transplant (ASCT)</w:t>
      </w:r>
    </w:p>
    <w:bookmarkEnd w:id="37"/>
    <w:p w:rsidR="007E2BC7" w:rsidRPr="0040771E" w14:paraId="412A8B09" w14:textId="4928FF35">
      <w:pPr>
        <w:rPr>
          <w:iCs/>
          <w:szCs w:val="22"/>
        </w:rPr>
      </w:pPr>
      <w:r w:rsidRPr="0040771E">
        <w:rPr>
          <w:iCs/>
          <w:szCs w:val="22"/>
        </w:rPr>
        <w:t xml:space="preserve">Study MMY3006 is a 2 part, open-label, randomised, active-controlled phase III study. Part 1 compared induction and consolidation treatment with </w:t>
      </w:r>
      <w:r w:rsidR="00E65908">
        <w:rPr>
          <w:iCs/>
          <w:szCs w:val="22"/>
        </w:rPr>
        <w:t>DARZALEX</w:t>
      </w:r>
      <w:r w:rsidRPr="0040771E">
        <w:rPr>
          <w:iCs/>
          <w:szCs w:val="22"/>
        </w:rPr>
        <w:t xml:space="preserve"> 16 mg/kg </w:t>
      </w:r>
      <w:r w:rsidRPr="0040771E">
        <w:rPr>
          <w:bCs/>
          <w:iCs/>
          <w:szCs w:val="22"/>
        </w:rPr>
        <w:t xml:space="preserve">in combination with bortezomib, thalidomide and dexamethasone (D-VTd) to treatment with bortezomib, thalidomide and dexamethasone (VTd) in patients </w:t>
      </w:r>
      <w:r w:rsidRPr="0040771E">
        <w:rPr>
          <w:iCs/>
          <w:szCs w:val="22"/>
        </w:rPr>
        <w:t>with newly diagnosed multiple myeloma eligible for ASCT.</w:t>
      </w:r>
      <w:r w:rsidRPr="0040771E">
        <w:rPr>
          <w:bCs/>
          <w:iCs/>
          <w:sz w:val="24"/>
          <w:szCs w:val="22"/>
          <w:lang w:eastAsia="en-GB"/>
        </w:rPr>
        <w:t xml:space="preserve"> </w:t>
      </w:r>
      <w:r w:rsidRPr="0040771E">
        <w:rPr>
          <w:bCs/>
          <w:iCs/>
          <w:szCs w:val="22"/>
        </w:rPr>
        <w:t xml:space="preserve">The consolidation phase of treatment began a minimum of 30 days post-ASCT, when the patient had recovered sufficiently, and engraftment was complete. In part 2, subjects with at least a partial response (PR) by day 100 post-transplant were re-randomised in a 1:1 ratio to daratumumab maintenance or observation only. Only results from part 1 are described henceforth. </w:t>
      </w:r>
    </w:p>
    <w:p w:rsidR="007E2BC7" w:rsidRPr="0040771E" w14:paraId="1824B2C9" w14:textId="77777777">
      <w:pPr>
        <w:rPr>
          <w:iCs/>
          <w:szCs w:val="22"/>
        </w:rPr>
      </w:pPr>
    </w:p>
    <w:p w:rsidR="007E2BC7" w:rsidRPr="0040771E" w14:paraId="52EB8CAE" w14:textId="44D38206">
      <w:pPr>
        <w:rPr>
          <w:bCs/>
          <w:iCs/>
          <w:szCs w:val="22"/>
        </w:rPr>
      </w:pPr>
      <w:r w:rsidRPr="0040771E">
        <w:rPr>
          <w:bCs/>
          <w:iCs/>
          <w:szCs w:val="22"/>
        </w:rPr>
        <w:t>Bortezomib was administered by subcutaneous injection or intravenous injection at a dose of 1.3 mg/m</w:t>
      </w:r>
      <w:r w:rsidRPr="0040771E">
        <w:rPr>
          <w:bCs/>
          <w:iCs/>
          <w:szCs w:val="22"/>
          <w:vertAlign w:val="superscript"/>
        </w:rPr>
        <w:t>2</w:t>
      </w:r>
      <w:r w:rsidRPr="0040771E">
        <w:rPr>
          <w:bCs/>
          <w:iCs/>
          <w:szCs w:val="22"/>
        </w:rPr>
        <w:t xml:space="preserve"> body surface area twice weekly for two weeks (days 1, 4, 8, and 11) of repeated 28 day (4-week) induction treatment cycles (cycles 1-4) and two consolidation cycles (cycles 5 and 6) following ASCT after cycle 4. Thalidomide was administered orally at 100 mg daily during the six bortezomib cycles. Dexamethasone (oral or intravenous) was administered at 40 mg on days 1, 2, 8</w:t>
      </w:r>
      <w:r w:rsidRPr="0040771E">
        <w:rPr>
          <w:bCs/>
          <w:iCs/>
          <w:color w:val="000000"/>
          <w:szCs w:val="22"/>
        </w:rPr>
        <w:t>, 9, 15, 16, 22 and 23</w:t>
      </w:r>
      <w:r w:rsidRPr="0040771E">
        <w:rPr>
          <w:bCs/>
          <w:iCs/>
          <w:szCs w:val="22"/>
        </w:rPr>
        <w:t xml:space="preserve"> of cycles 1 and 2, and at 40 mg on days 1-2 and 20 mg on subsequent dosing days (days 8, 9, 15, 16) of cycles 3-4. Dexamethasone 20 mg was administered on days 1, 2, 8, 9, 15, 16 in cycles 5 and 6. On the days of </w:t>
      </w:r>
      <w:r w:rsidR="00E65908">
        <w:rPr>
          <w:bCs/>
          <w:iCs/>
          <w:szCs w:val="22"/>
        </w:rPr>
        <w:t>DARZALEX</w:t>
      </w:r>
      <w:r w:rsidRPr="0040771E">
        <w:rPr>
          <w:bCs/>
          <w:iCs/>
          <w:szCs w:val="22"/>
        </w:rPr>
        <w:t xml:space="preserve"> infusion, the dexamethasone dose was administered intravenously as a pre-infusion medicinal product. Dose adjustments for bortezomib, thalidomide and dexamethasone were applied according to manufacturer’s prescribing information.</w:t>
      </w:r>
    </w:p>
    <w:p w:rsidR="007E2BC7" w:rsidRPr="0040771E" w14:paraId="3180C9E0" w14:textId="77777777">
      <w:pPr>
        <w:rPr>
          <w:bCs/>
          <w:iCs/>
          <w:szCs w:val="22"/>
        </w:rPr>
      </w:pPr>
    </w:p>
    <w:p w:rsidR="007E2BC7" w:rsidRPr="0040771E" w14:paraId="34CD67F9" w14:textId="77777777">
      <w:pPr>
        <w:rPr>
          <w:iCs/>
          <w:szCs w:val="22"/>
        </w:rPr>
      </w:pPr>
      <w:r w:rsidRPr="0040771E">
        <w:rPr>
          <w:iCs/>
          <w:szCs w:val="22"/>
        </w:rPr>
        <w:t>A total of 1085 patients were randomised: 543 to the D-VTd arm and 542 to the VTd arm. The baseline demographic and disease characteristics were similar between the two treatment groups. The median age was 58 (range: 22 to 65) years. All patients were ≤ 65 years: 43% were in the age group ≥ 60-65 years, 41% were in the age group ≥ 50-60 years and 16% below age of 50 years. The majority were male (59%), 48% had an ECOG performance score of 0, 42% had an ECOG performance score of 1 and 10% had an ECOG performance score of 2. Forty percent had International Staging System (ISS) stage I, 45% had ISS stage II and 15% had ISS stage III disease.</w:t>
      </w:r>
    </w:p>
    <w:p w:rsidR="007E2BC7" w:rsidRPr="0040771E" w14:paraId="471A8DE1" w14:textId="77777777">
      <w:pPr>
        <w:rPr>
          <w:iCs/>
          <w:szCs w:val="22"/>
        </w:rPr>
      </w:pPr>
    </w:p>
    <w:p w:rsidR="007E2BC7" w:rsidRPr="0040771E" w14:paraId="60C1C315" w14:textId="77777777">
      <w:pPr>
        <w:rPr>
          <w:iCs/>
          <w:szCs w:val="22"/>
        </w:rPr>
      </w:pPr>
      <w:r w:rsidRPr="0040771E">
        <w:rPr>
          <w:iCs/>
          <w:szCs w:val="22"/>
        </w:rPr>
        <w:t>Efficacy was evaluated by the stringent complete response (sCR) rate at day 100 post-transplant and PFS.</w:t>
      </w:r>
    </w:p>
    <w:p w:rsidR="007E2BC7" w:rsidRPr="0040771E" w14:paraId="0465EE60" w14:textId="77777777">
      <w:pPr>
        <w:rPr>
          <w:iCs/>
          <w:szCs w:val="22"/>
        </w:rPr>
      </w:pPr>
    </w:p>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04"/>
        <w:gridCol w:w="1701"/>
        <w:gridCol w:w="1701"/>
        <w:gridCol w:w="1267"/>
      </w:tblGrid>
      <w:tr w14:paraId="3E667C37" w14:textId="77777777">
        <w:tblPrEx>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8773" w:type="dxa"/>
            <w:gridSpan w:val="4"/>
            <w:tcBorders>
              <w:top w:val="nil"/>
              <w:left w:val="nil"/>
              <w:bottom w:val="single" w:sz="4" w:space="0" w:color="auto"/>
              <w:right w:val="nil"/>
            </w:tcBorders>
          </w:tcPr>
          <w:p w:rsidR="007E2BC7" w:rsidRPr="0040771E" w14:paraId="55768202" w14:textId="77777777">
            <w:pPr>
              <w:keepNext/>
              <w:outlineLvl w:val="0"/>
              <w:rPr>
                <w:b/>
                <w:bCs/>
                <w:iCs/>
                <w:szCs w:val="22"/>
              </w:rPr>
            </w:pPr>
            <w:r w:rsidRPr="0040771E">
              <w:rPr>
                <w:b/>
                <w:bCs/>
                <w:iCs/>
                <w:szCs w:val="22"/>
              </w:rPr>
              <w:t>Table 9:</w:t>
            </w:r>
            <w:r w:rsidRPr="0040771E">
              <w:rPr>
                <w:b/>
                <w:bCs/>
                <w:iCs/>
                <w:szCs w:val="22"/>
              </w:rPr>
              <w:tab/>
              <w:t>Efficacy results from study MMY3006</w:t>
            </w:r>
            <w:r w:rsidRPr="0040771E">
              <w:rPr>
                <w:b/>
                <w:bCs/>
                <w:iCs/>
                <w:szCs w:val="22"/>
                <w:vertAlign w:val="superscript"/>
              </w:rPr>
              <w:t>a</w:t>
            </w:r>
          </w:p>
        </w:tc>
      </w:tr>
      <w:tr w14:paraId="7C8F1B7F" w14:textId="77777777">
        <w:tblPrEx>
          <w:tblW w:w="8773" w:type="dxa"/>
          <w:jc w:val="center"/>
          <w:tblLook w:val="04A0"/>
        </w:tblPrEx>
        <w:trPr>
          <w:cantSplit/>
          <w:jc w:val="center"/>
        </w:trPr>
        <w:tc>
          <w:tcPr>
            <w:tcW w:w="4104" w:type="dxa"/>
            <w:tcBorders>
              <w:bottom w:val="single" w:sz="4" w:space="0" w:color="auto"/>
            </w:tcBorders>
          </w:tcPr>
          <w:p w:rsidR="007E2BC7" w:rsidRPr="0040771E" w14:paraId="7CB81C9F" w14:textId="77777777">
            <w:pPr>
              <w:keepNext/>
              <w:outlineLvl w:val="0"/>
              <w:rPr>
                <w:iCs/>
                <w:szCs w:val="22"/>
              </w:rPr>
            </w:pPr>
          </w:p>
        </w:tc>
        <w:tc>
          <w:tcPr>
            <w:tcW w:w="1701" w:type="dxa"/>
            <w:tcBorders>
              <w:bottom w:val="single" w:sz="4" w:space="0" w:color="auto"/>
            </w:tcBorders>
          </w:tcPr>
          <w:p w:rsidR="007E2BC7" w:rsidRPr="0040771E" w14:paraId="3E2F0D60" w14:textId="77777777">
            <w:pPr>
              <w:keepNext/>
              <w:outlineLvl w:val="0"/>
              <w:rPr>
                <w:b/>
                <w:iCs/>
                <w:szCs w:val="22"/>
              </w:rPr>
            </w:pPr>
            <w:r w:rsidRPr="0040771E">
              <w:rPr>
                <w:b/>
                <w:iCs/>
                <w:szCs w:val="22"/>
              </w:rPr>
              <w:t>D-VTd (n=543)</w:t>
            </w:r>
          </w:p>
        </w:tc>
        <w:tc>
          <w:tcPr>
            <w:tcW w:w="1701" w:type="dxa"/>
            <w:tcBorders>
              <w:bottom w:val="single" w:sz="4" w:space="0" w:color="auto"/>
            </w:tcBorders>
          </w:tcPr>
          <w:p w:rsidR="007E2BC7" w:rsidRPr="0040771E" w14:paraId="2E210167" w14:textId="77777777">
            <w:pPr>
              <w:keepNext/>
              <w:outlineLvl w:val="0"/>
              <w:rPr>
                <w:b/>
                <w:iCs/>
                <w:szCs w:val="22"/>
              </w:rPr>
            </w:pPr>
            <w:r w:rsidRPr="0040771E">
              <w:rPr>
                <w:b/>
                <w:iCs/>
                <w:szCs w:val="22"/>
              </w:rPr>
              <w:t>VTd (n=542)</w:t>
            </w:r>
          </w:p>
        </w:tc>
        <w:tc>
          <w:tcPr>
            <w:tcW w:w="1267" w:type="dxa"/>
            <w:tcBorders>
              <w:bottom w:val="single" w:sz="4" w:space="0" w:color="auto"/>
            </w:tcBorders>
          </w:tcPr>
          <w:p w:rsidR="007E2BC7" w:rsidRPr="0040771E" w14:paraId="433FAAFA" w14:textId="77777777">
            <w:pPr>
              <w:keepNext/>
              <w:outlineLvl w:val="0"/>
              <w:rPr>
                <w:b/>
                <w:iCs/>
                <w:szCs w:val="22"/>
              </w:rPr>
            </w:pPr>
            <w:r w:rsidRPr="0040771E">
              <w:rPr>
                <w:b/>
                <w:iCs/>
                <w:szCs w:val="22"/>
              </w:rPr>
              <w:t>P value</w:t>
            </w:r>
            <w:r w:rsidRPr="0040771E">
              <w:rPr>
                <w:b/>
                <w:iCs/>
                <w:szCs w:val="22"/>
                <w:vertAlign w:val="superscript"/>
              </w:rPr>
              <w:t>b</w:t>
            </w:r>
          </w:p>
        </w:tc>
      </w:tr>
      <w:tr w14:paraId="36852E6C" w14:textId="77777777">
        <w:tblPrEx>
          <w:tblW w:w="8773" w:type="dxa"/>
          <w:jc w:val="center"/>
          <w:tblLook w:val="04A0"/>
        </w:tblPrEx>
        <w:trPr>
          <w:cantSplit/>
          <w:jc w:val="center"/>
        </w:trPr>
        <w:tc>
          <w:tcPr>
            <w:tcW w:w="4104" w:type="dxa"/>
            <w:tcBorders>
              <w:top w:val="nil"/>
              <w:left w:val="single" w:sz="4" w:space="0" w:color="auto"/>
              <w:bottom w:val="single" w:sz="4" w:space="0" w:color="auto"/>
              <w:right w:val="single" w:sz="4" w:space="0" w:color="auto"/>
            </w:tcBorders>
          </w:tcPr>
          <w:p w:rsidR="007E2BC7" w:rsidRPr="0040771E" w14:paraId="191EDFCF" w14:textId="77777777">
            <w:pPr>
              <w:keepNext/>
              <w:outlineLvl w:val="0"/>
              <w:rPr>
                <w:iCs/>
                <w:szCs w:val="22"/>
              </w:rPr>
            </w:pPr>
            <w:r w:rsidRPr="0040771E">
              <w:rPr>
                <w:iCs/>
                <w:szCs w:val="22"/>
              </w:rPr>
              <w:t>Response assessment day 100 post-transplant</w:t>
            </w:r>
          </w:p>
        </w:tc>
        <w:tc>
          <w:tcPr>
            <w:tcW w:w="1701" w:type="dxa"/>
            <w:tcBorders>
              <w:bottom w:val="single" w:sz="4" w:space="0" w:color="auto"/>
            </w:tcBorders>
            <w:vAlign w:val="bottom"/>
          </w:tcPr>
          <w:p w:rsidR="007E2BC7" w:rsidRPr="0040771E" w14:paraId="507CC7AA" w14:textId="77777777">
            <w:pPr>
              <w:keepNext/>
              <w:outlineLvl w:val="0"/>
              <w:rPr>
                <w:iCs/>
                <w:szCs w:val="22"/>
              </w:rPr>
            </w:pPr>
          </w:p>
        </w:tc>
        <w:tc>
          <w:tcPr>
            <w:tcW w:w="1701" w:type="dxa"/>
            <w:tcBorders>
              <w:bottom w:val="single" w:sz="4" w:space="0" w:color="auto"/>
            </w:tcBorders>
            <w:vAlign w:val="bottom"/>
          </w:tcPr>
          <w:p w:rsidR="007E2BC7" w:rsidRPr="0040771E" w14:paraId="5E0498D3" w14:textId="77777777">
            <w:pPr>
              <w:keepNext/>
              <w:outlineLvl w:val="0"/>
              <w:rPr>
                <w:iCs/>
                <w:szCs w:val="22"/>
              </w:rPr>
            </w:pPr>
          </w:p>
        </w:tc>
        <w:tc>
          <w:tcPr>
            <w:tcW w:w="1267" w:type="dxa"/>
            <w:tcBorders>
              <w:bottom w:val="single" w:sz="4" w:space="0" w:color="auto"/>
            </w:tcBorders>
            <w:vAlign w:val="bottom"/>
          </w:tcPr>
          <w:p w:rsidR="007E2BC7" w:rsidRPr="0040771E" w14:paraId="7167CF36" w14:textId="77777777">
            <w:pPr>
              <w:keepNext/>
              <w:outlineLvl w:val="0"/>
              <w:rPr>
                <w:iCs/>
                <w:szCs w:val="22"/>
              </w:rPr>
            </w:pPr>
          </w:p>
        </w:tc>
      </w:tr>
      <w:tr w14:paraId="370B63E1" w14:textId="77777777">
        <w:tblPrEx>
          <w:tblW w:w="8773" w:type="dxa"/>
          <w:jc w:val="center"/>
          <w:tblLook w:val="04A0"/>
        </w:tblPrEx>
        <w:trPr>
          <w:cantSplit/>
          <w:jc w:val="center"/>
        </w:trPr>
        <w:tc>
          <w:tcPr>
            <w:tcW w:w="4104" w:type="dxa"/>
            <w:tcBorders>
              <w:top w:val="single" w:sz="4" w:space="0" w:color="auto"/>
              <w:left w:val="single" w:sz="4" w:space="0" w:color="auto"/>
              <w:bottom w:val="single" w:sz="4" w:space="0" w:color="auto"/>
              <w:right w:val="single" w:sz="4" w:space="0" w:color="auto"/>
            </w:tcBorders>
          </w:tcPr>
          <w:p w:rsidR="007E2BC7" w:rsidRPr="0040771E" w14:paraId="2E52BCFA" w14:textId="77777777">
            <w:pPr>
              <w:keepNext/>
              <w:ind w:left="567"/>
              <w:outlineLvl w:val="0"/>
              <w:rPr>
                <w:iCs/>
                <w:szCs w:val="22"/>
              </w:rPr>
            </w:pPr>
            <w:r w:rsidRPr="0040771E">
              <w:rPr>
                <w:iCs/>
                <w:szCs w:val="22"/>
              </w:rPr>
              <w:t>Stringent complete response (sCR)</w:t>
            </w:r>
          </w:p>
        </w:tc>
        <w:tc>
          <w:tcPr>
            <w:tcW w:w="1701" w:type="dxa"/>
            <w:tcBorders>
              <w:top w:val="single" w:sz="4" w:space="0" w:color="auto"/>
              <w:left w:val="nil"/>
              <w:bottom w:val="single" w:sz="4" w:space="0" w:color="auto"/>
              <w:right w:val="nil"/>
            </w:tcBorders>
            <w:shd w:val="clear" w:color="auto" w:fill="FFFFFF"/>
            <w:vAlign w:val="bottom"/>
          </w:tcPr>
          <w:p w:rsidR="007E2BC7" w:rsidRPr="0040771E" w14:paraId="37289132" w14:textId="77777777">
            <w:pPr>
              <w:keepNext/>
              <w:outlineLvl w:val="0"/>
              <w:rPr>
                <w:iCs/>
                <w:szCs w:val="22"/>
              </w:rPr>
            </w:pPr>
            <w:r w:rsidRPr="0040771E">
              <w:rPr>
                <w:iCs/>
                <w:szCs w:val="22"/>
              </w:rPr>
              <w:t>157 (28.9%)</w:t>
            </w:r>
          </w:p>
        </w:tc>
        <w:tc>
          <w:tcPr>
            <w:tcW w:w="1701" w:type="dxa"/>
            <w:tcBorders>
              <w:top w:val="single" w:sz="4" w:space="0" w:color="auto"/>
              <w:bottom w:val="single" w:sz="4" w:space="0" w:color="auto"/>
            </w:tcBorders>
            <w:vAlign w:val="bottom"/>
          </w:tcPr>
          <w:p w:rsidR="007E2BC7" w:rsidRPr="0040771E" w14:paraId="2A5704DB" w14:textId="77777777">
            <w:pPr>
              <w:keepNext/>
              <w:outlineLvl w:val="0"/>
              <w:rPr>
                <w:iCs/>
                <w:szCs w:val="22"/>
              </w:rPr>
            </w:pPr>
            <w:r w:rsidRPr="0040771E">
              <w:rPr>
                <w:iCs/>
                <w:szCs w:val="22"/>
              </w:rPr>
              <w:t>110 (20.3%)</w:t>
            </w:r>
          </w:p>
        </w:tc>
        <w:tc>
          <w:tcPr>
            <w:tcW w:w="1267" w:type="dxa"/>
            <w:tcBorders>
              <w:top w:val="single" w:sz="4" w:space="0" w:color="auto"/>
              <w:bottom w:val="single" w:sz="4" w:space="0" w:color="auto"/>
            </w:tcBorders>
            <w:vAlign w:val="bottom"/>
          </w:tcPr>
          <w:p w:rsidR="007E2BC7" w:rsidRPr="0040771E" w14:paraId="6762094B" w14:textId="77777777">
            <w:pPr>
              <w:keepNext/>
              <w:outlineLvl w:val="0"/>
              <w:rPr>
                <w:iCs/>
                <w:szCs w:val="22"/>
              </w:rPr>
            </w:pPr>
            <w:r w:rsidRPr="0040771E">
              <w:rPr>
                <w:iCs/>
                <w:szCs w:val="22"/>
              </w:rPr>
              <w:t>0.0010</w:t>
            </w:r>
          </w:p>
        </w:tc>
      </w:tr>
      <w:tr w14:paraId="40FF8BA4" w14:textId="77777777">
        <w:tblPrEx>
          <w:tblW w:w="8773" w:type="dxa"/>
          <w:jc w:val="center"/>
          <w:tblLook w:val="04A0"/>
        </w:tblPrEx>
        <w:trPr>
          <w:cantSplit/>
          <w:jc w:val="center"/>
        </w:trPr>
        <w:tc>
          <w:tcPr>
            <w:tcW w:w="4104" w:type="dxa"/>
            <w:tcBorders>
              <w:top w:val="single" w:sz="4" w:space="0" w:color="auto"/>
              <w:left w:val="single" w:sz="4" w:space="0" w:color="auto"/>
              <w:bottom w:val="single" w:sz="4" w:space="0" w:color="auto"/>
              <w:right w:val="single" w:sz="4" w:space="0" w:color="auto"/>
            </w:tcBorders>
          </w:tcPr>
          <w:p w:rsidR="007E2BC7" w:rsidRPr="0040771E" w14:paraId="4B037C37" w14:textId="77777777">
            <w:pPr>
              <w:keepNext/>
              <w:ind w:left="567"/>
              <w:outlineLvl w:val="0"/>
              <w:rPr>
                <w:iCs/>
                <w:szCs w:val="22"/>
              </w:rPr>
            </w:pPr>
            <w:r w:rsidRPr="0040771E">
              <w:rPr>
                <w:iCs/>
                <w:szCs w:val="22"/>
              </w:rPr>
              <w:t>CR or better (sCR+CR)</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bottom"/>
          </w:tcPr>
          <w:p w:rsidR="007E2BC7" w:rsidRPr="0040771E" w14:paraId="5FC11CC6" w14:textId="77777777">
            <w:pPr>
              <w:keepNext/>
              <w:outlineLvl w:val="0"/>
              <w:rPr>
                <w:iCs/>
                <w:szCs w:val="22"/>
              </w:rPr>
            </w:pPr>
            <w:r w:rsidRPr="0040771E">
              <w:rPr>
                <w:iCs/>
                <w:szCs w:val="22"/>
              </w:rPr>
              <w:t>211 (38.9%)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bottom"/>
          </w:tcPr>
          <w:p w:rsidR="007E2BC7" w:rsidRPr="0040771E" w14:paraId="0E79CD1F" w14:textId="77777777">
            <w:pPr>
              <w:keepNext/>
              <w:outlineLvl w:val="0"/>
              <w:rPr>
                <w:iCs/>
                <w:szCs w:val="22"/>
              </w:rPr>
            </w:pPr>
            <w:r w:rsidRPr="0040771E">
              <w:rPr>
                <w:iCs/>
                <w:szCs w:val="22"/>
              </w:rPr>
              <w:t>141 (26.0%)</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rsidR="007E2BC7" w:rsidRPr="0040771E" w14:paraId="71BED508" w14:textId="77777777">
            <w:pPr>
              <w:keepNext/>
              <w:outlineLvl w:val="0"/>
              <w:rPr>
                <w:iCs/>
                <w:szCs w:val="22"/>
              </w:rPr>
            </w:pPr>
            <w:r w:rsidRPr="0040771E">
              <w:rPr>
                <w:iCs/>
                <w:szCs w:val="22"/>
              </w:rPr>
              <w:t>&lt;0.0001</w:t>
            </w:r>
          </w:p>
        </w:tc>
      </w:tr>
      <w:tr w14:paraId="19E5A91C" w14:textId="77777777">
        <w:tblPrEx>
          <w:tblW w:w="8773" w:type="dxa"/>
          <w:jc w:val="center"/>
          <w:tblLook w:val="04A0"/>
        </w:tblPrEx>
        <w:trPr>
          <w:cantSplit/>
          <w:jc w:val="center"/>
        </w:trPr>
        <w:tc>
          <w:tcPr>
            <w:tcW w:w="4104" w:type="dxa"/>
            <w:tcBorders>
              <w:top w:val="single" w:sz="4" w:space="0" w:color="auto"/>
              <w:left w:val="single" w:sz="4" w:space="0" w:color="auto"/>
              <w:bottom w:val="single" w:sz="4" w:space="0" w:color="auto"/>
              <w:right w:val="single" w:sz="4" w:space="0" w:color="auto"/>
            </w:tcBorders>
          </w:tcPr>
          <w:p w:rsidR="007E2BC7" w:rsidRPr="0040771E" w14:paraId="269CF69C" w14:textId="77777777">
            <w:pPr>
              <w:keepNext/>
              <w:ind w:left="567"/>
              <w:outlineLvl w:val="0"/>
              <w:rPr>
                <w:iCs/>
                <w:szCs w:val="22"/>
              </w:rPr>
            </w:pPr>
            <w:r w:rsidRPr="0040771E">
              <w:rPr>
                <w:iCs/>
                <w:szCs w:val="22"/>
              </w:rPr>
              <w:t>Very good partial response or better (sCR+CR+VGPR)</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bottom"/>
          </w:tcPr>
          <w:p w:rsidR="007E2BC7" w:rsidRPr="0040771E" w14:paraId="6EAD84F4" w14:textId="77777777">
            <w:pPr>
              <w:keepNext/>
              <w:outlineLvl w:val="0"/>
              <w:rPr>
                <w:iCs/>
                <w:szCs w:val="22"/>
              </w:rPr>
            </w:pPr>
            <w:r w:rsidRPr="0040771E">
              <w:rPr>
                <w:iCs/>
                <w:szCs w:val="22"/>
              </w:rPr>
              <w:t>453 (83.4%)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bottom"/>
          </w:tcPr>
          <w:p w:rsidR="007E2BC7" w:rsidRPr="0040771E" w14:paraId="11D26D05" w14:textId="77777777">
            <w:pPr>
              <w:keepNext/>
              <w:outlineLvl w:val="0"/>
              <w:rPr>
                <w:iCs/>
                <w:szCs w:val="22"/>
              </w:rPr>
            </w:pPr>
            <w:r w:rsidRPr="0040771E">
              <w:rPr>
                <w:iCs/>
                <w:szCs w:val="22"/>
              </w:rPr>
              <w:t>423 (78.0%)</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rsidR="007E2BC7" w:rsidRPr="0040771E" w14:paraId="50AD0D57" w14:textId="77777777">
            <w:pPr>
              <w:keepNext/>
              <w:outlineLvl w:val="0"/>
              <w:rPr>
                <w:iCs/>
                <w:szCs w:val="22"/>
              </w:rPr>
            </w:pPr>
          </w:p>
        </w:tc>
      </w:tr>
      <w:tr w14:paraId="08D28D9B" w14:textId="77777777">
        <w:tblPrEx>
          <w:tblW w:w="8773" w:type="dxa"/>
          <w:jc w:val="center"/>
          <w:tblLook w:val="04A0"/>
        </w:tblPrEx>
        <w:trPr>
          <w:cantSplit/>
          <w:jc w:val="center"/>
        </w:trPr>
        <w:tc>
          <w:tcPr>
            <w:tcW w:w="4104" w:type="dxa"/>
            <w:tcBorders>
              <w:top w:val="single" w:sz="4" w:space="0" w:color="auto"/>
              <w:left w:val="single" w:sz="4" w:space="0" w:color="auto"/>
              <w:bottom w:val="single" w:sz="4" w:space="0" w:color="auto"/>
              <w:right w:val="single" w:sz="4" w:space="0" w:color="auto"/>
            </w:tcBorders>
          </w:tcPr>
          <w:p w:rsidR="007E2BC7" w:rsidRPr="0040771E" w14:paraId="1A955D3C" w14:textId="77777777">
            <w:pPr>
              <w:keepNext/>
              <w:outlineLvl w:val="0"/>
              <w:rPr>
                <w:iCs/>
                <w:szCs w:val="22"/>
              </w:rPr>
            </w:pPr>
            <w:r w:rsidRPr="0040771E">
              <w:rPr>
                <w:szCs w:val="22"/>
                <w:lang w:eastAsia="en-GB"/>
              </w:rPr>
              <w:t>MRD negativity</w:t>
            </w:r>
            <w:r w:rsidRPr="0040771E">
              <w:rPr>
                <w:szCs w:val="22"/>
                <w:vertAlign w:val="superscript"/>
                <w:lang w:eastAsia="en-GB"/>
              </w:rPr>
              <w:t>c, d</w:t>
            </w:r>
            <w:r w:rsidRPr="0040771E">
              <w:rPr>
                <w:szCs w:val="22"/>
                <w:lang w:eastAsia="en-GB"/>
              </w:rPr>
              <w:t xml:space="preserve"> n(%)</w:t>
            </w:r>
          </w:p>
        </w:tc>
        <w:tc>
          <w:tcPr>
            <w:tcW w:w="1701" w:type="dxa"/>
            <w:shd w:val="clear" w:color="auto" w:fill="FFFFFF"/>
            <w:vAlign w:val="bottom"/>
          </w:tcPr>
          <w:p w:rsidR="007E2BC7" w:rsidRPr="0040771E" w14:paraId="6F2673E7" w14:textId="77777777">
            <w:pPr>
              <w:keepNext/>
              <w:outlineLvl w:val="0"/>
              <w:rPr>
                <w:szCs w:val="22"/>
              </w:rPr>
            </w:pPr>
            <w:r w:rsidRPr="0040771E">
              <w:rPr>
                <w:color w:val="000000"/>
                <w:szCs w:val="22"/>
              </w:rPr>
              <w:t>346 (63.7%)</w:t>
            </w:r>
          </w:p>
        </w:tc>
        <w:tc>
          <w:tcPr>
            <w:tcW w:w="1701" w:type="dxa"/>
            <w:shd w:val="clear" w:color="auto" w:fill="FFFFFF"/>
            <w:vAlign w:val="bottom"/>
          </w:tcPr>
          <w:p w:rsidR="007E2BC7" w:rsidRPr="0040771E" w14:paraId="31394C18" w14:textId="77777777">
            <w:pPr>
              <w:keepNext/>
              <w:outlineLvl w:val="0"/>
              <w:rPr>
                <w:szCs w:val="22"/>
              </w:rPr>
            </w:pPr>
            <w:r w:rsidRPr="0040771E">
              <w:rPr>
                <w:color w:val="000000"/>
                <w:szCs w:val="22"/>
              </w:rPr>
              <w:t>236 (43.5%)</w:t>
            </w:r>
          </w:p>
        </w:tc>
        <w:tc>
          <w:tcPr>
            <w:tcW w:w="1267" w:type="dxa"/>
            <w:tcBorders>
              <w:top w:val="single" w:sz="4" w:space="0" w:color="auto"/>
            </w:tcBorders>
          </w:tcPr>
          <w:p w:rsidR="007E2BC7" w:rsidRPr="0040771E" w14:paraId="7E291333" w14:textId="77777777">
            <w:pPr>
              <w:keepNext/>
              <w:outlineLvl w:val="0"/>
              <w:rPr>
                <w:szCs w:val="22"/>
                <w:lang w:eastAsia="en-GB"/>
              </w:rPr>
            </w:pPr>
            <w:r w:rsidRPr="0040771E">
              <w:rPr>
                <w:szCs w:val="22"/>
                <w:lang w:eastAsia="en-GB"/>
              </w:rPr>
              <w:t>&lt;0.0001</w:t>
            </w:r>
          </w:p>
        </w:tc>
      </w:tr>
      <w:tr w14:paraId="2CFB2DCA" w14:textId="77777777">
        <w:tblPrEx>
          <w:tblW w:w="8773" w:type="dxa"/>
          <w:jc w:val="center"/>
          <w:tblLook w:val="04A0"/>
        </w:tblPrEx>
        <w:trPr>
          <w:cantSplit/>
          <w:jc w:val="center"/>
        </w:trPr>
        <w:tc>
          <w:tcPr>
            <w:tcW w:w="4104" w:type="dxa"/>
            <w:tcBorders>
              <w:top w:val="single" w:sz="4" w:space="0" w:color="auto"/>
              <w:left w:val="single" w:sz="4" w:space="0" w:color="auto"/>
              <w:bottom w:val="single" w:sz="4" w:space="0" w:color="auto"/>
              <w:right w:val="single" w:sz="4" w:space="0" w:color="auto"/>
            </w:tcBorders>
          </w:tcPr>
          <w:p w:rsidR="007E2BC7" w:rsidRPr="0040771E" w14:paraId="108F3360" w14:textId="77777777">
            <w:pPr>
              <w:keepNext/>
              <w:ind w:left="567"/>
              <w:outlineLvl w:val="0"/>
              <w:rPr>
                <w:iCs/>
                <w:szCs w:val="22"/>
              </w:rPr>
            </w:pPr>
            <w:r w:rsidRPr="0040771E">
              <w:rPr>
                <w:szCs w:val="22"/>
                <w:lang w:eastAsia="en-GB"/>
              </w:rPr>
              <w:t>95% CI (%)</w:t>
            </w:r>
          </w:p>
        </w:tc>
        <w:tc>
          <w:tcPr>
            <w:tcW w:w="1701" w:type="dxa"/>
            <w:shd w:val="clear" w:color="auto" w:fill="FFFFFF"/>
            <w:vAlign w:val="bottom"/>
          </w:tcPr>
          <w:p w:rsidR="007E2BC7" w:rsidRPr="0040771E" w14:paraId="60B2A8F7" w14:textId="77777777">
            <w:pPr>
              <w:keepNext/>
              <w:outlineLvl w:val="0"/>
              <w:rPr>
                <w:szCs w:val="22"/>
              </w:rPr>
            </w:pPr>
            <w:r w:rsidRPr="0040771E">
              <w:rPr>
                <w:color w:val="000000"/>
                <w:szCs w:val="22"/>
              </w:rPr>
              <w:t>(59.5%, 67.8%)</w:t>
            </w:r>
          </w:p>
        </w:tc>
        <w:tc>
          <w:tcPr>
            <w:tcW w:w="1701" w:type="dxa"/>
            <w:shd w:val="clear" w:color="auto" w:fill="FFFFFF"/>
            <w:vAlign w:val="bottom"/>
          </w:tcPr>
          <w:p w:rsidR="007E2BC7" w:rsidRPr="0040771E" w14:paraId="4108E352" w14:textId="77777777">
            <w:pPr>
              <w:keepNext/>
              <w:outlineLvl w:val="0"/>
              <w:rPr>
                <w:szCs w:val="22"/>
              </w:rPr>
            </w:pPr>
            <w:r w:rsidRPr="0040771E">
              <w:rPr>
                <w:color w:val="000000"/>
                <w:szCs w:val="22"/>
              </w:rPr>
              <w:t>(39.3%, 47.8%)</w:t>
            </w:r>
          </w:p>
        </w:tc>
        <w:tc>
          <w:tcPr>
            <w:tcW w:w="1267" w:type="dxa"/>
            <w:tcBorders>
              <w:top w:val="single" w:sz="4" w:space="0" w:color="auto"/>
            </w:tcBorders>
          </w:tcPr>
          <w:p w:rsidR="007E2BC7" w:rsidRPr="0040771E" w14:paraId="0D05A798" w14:textId="77777777">
            <w:pPr>
              <w:keepNext/>
              <w:outlineLvl w:val="0"/>
              <w:rPr>
                <w:szCs w:val="22"/>
                <w:lang w:eastAsia="en-GB"/>
              </w:rPr>
            </w:pPr>
          </w:p>
        </w:tc>
      </w:tr>
      <w:tr w14:paraId="70A38EDE" w14:textId="77777777">
        <w:tblPrEx>
          <w:tblW w:w="8773" w:type="dxa"/>
          <w:jc w:val="center"/>
          <w:tblLook w:val="04A0"/>
        </w:tblPrEx>
        <w:trPr>
          <w:cantSplit/>
          <w:jc w:val="center"/>
        </w:trPr>
        <w:tc>
          <w:tcPr>
            <w:tcW w:w="4104" w:type="dxa"/>
            <w:tcBorders>
              <w:top w:val="single" w:sz="4" w:space="0" w:color="auto"/>
              <w:left w:val="single" w:sz="4" w:space="0" w:color="auto"/>
              <w:bottom w:val="single" w:sz="4" w:space="0" w:color="auto"/>
              <w:right w:val="single" w:sz="4" w:space="0" w:color="auto"/>
            </w:tcBorders>
          </w:tcPr>
          <w:p w:rsidR="007E2BC7" w:rsidRPr="0040771E" w14:paraId="3B18615F" w14:textId="77777777">
            <w:pPr>
              <w:keepNext/>
              <w:ind w:left="567"/>
              <w:outlineLvl w:val="0"/>
              <w:rPr>
                <w:iCs/>
                <w:szCs w:val="22"/>
              </w:rPr>
            </w:pPr>
            <w:r w:rsidRPr="0040771E">
              <w:rPr>
                <w:szCs w:val="22"/>
                <w:lang w:eastAsia="en-GB"/>
              </w:rPr>
              <w:t>Odds ratio with 95% CI</w:t>
            </w:r>
            <w:r w:rsidRPr="0040771E">
              <w:rPr>
                <w:szCs w:val="22"/>
                <w:vertAlign w:val="superscript"/>
                <w:lang w:eastAsia="en-GB"/>
              </w:rPr>
              <w:t>e</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FFFFF"/>
          </w:tcPr>
          <w:p w:rsidR="007E2BC7" w:rsidRPr="0040771E" w14:paraId="315C3BD3" w14:textId="77777777">
            <w:pPr>
              <w:keepNext/>
              <w:outlineLvl w:val="0"/>
              <w:rPr>
                <w:szCs w:val="22"/>
              </w:rPr>
            </w:pPr>
            <w:r w:rsidRPr="0040771E">
              <w:rPr>
                <w:color w:val="000000"/>
                <w:szCs w:val="22"/>
              </w:rPr>
              <w:t>2.27 (1.78, 2.90)</w:t>
            </w:r>
          </w:p>
        </w:tc>
        <w:tc>
          <w:tcPr>
            <w:tcW w:w="1267" w:type="dxa"/>
            <w:tcBorders>
              <w:top w:val="single" w:sz="4" w:space="0" w:color="auto"/>
            </w:tcBorders>
          </w:tcPr>
          <w:p w:rsidR="007E2BC7" w:rsidRPr="0040771E" w14:paraId="3A6FDDFA" w14:textId="77777777">
            <w:pPr>
              <w:keepNext/>
              <w:outlineLvl w:val="0"/>
              <w:rPr>
                <w:szCs w:val="22"/>
                <w:lang w:eastAsia="en-GB"/>
              </w:rPr>
            </w:pPr>
          </w:p>
        </w:tc>
      </w:tr>
      <w:tr w14:paraId="70A01014" w14:textId="77777777">
        <w:tblPrEx>
          <w:tblW w:w="8773" w:type="dxa"/>
          <w:jc w:val="center"/>
          <w:tblLook w:val="04A0"/>
        </w:tblPrEx>
        <w:trPr>
          <w:cantSplit/>
          <w:jc w:val="center"/>
        </w:trPr>
        <w:tc>
          <w:tcPr>
            <w:tcW w:w="4104" w:type="dxa"/>
            <w:tcBorders>
              <w:top w:val="single" w:sz="4" w:space="0" w:color="auto"/>
              <w:left w:val="single" w:sz="4" w:space="0" w:color="auto"/>
              <w:bottom w:val="single" w:sz="4" w:space="0" w:color="auto"/>
              <w:right w:val="single" w:sz="4" w:space="0" w:color="auto"/>
            </w:tcBorders>
          </w:tcPr>
          <w:p w:rsidR="007E2BC7" w:rsidRPr="0040771E" w14:paraId="4DACCCB0" w14:textId="77777777">
            <w:pPr>
              <w:keepNext/>
              <w:outlineLvl w:val="0"/>
              <w:rPr>
                <w:iCs/>
                <w:szCs w:val="22"/>
              </w:rPr>
            </w:pPr>
            <w:r w:rsidRPr="0040771E">
              <w:rPr>
                <w:iCs/>
                <w:szCs w:val="22"/>
              </w:rPr>
              <w:t>MRD negativity in combination with CR or better</w:t>
            </w:r>
            <w:r w:rsidRPr="0040771E">
              <w:rPr>
                <w:iCs/>
                <w:szCs w:val="22"/>
                <w:vertAlign w:val="superscript"/>
              </w:rPr>
              <w:t>c</w:t>
            </w:r>
            <w:r w:rsidRPr="0040771E">
              <w:rPr>
                <w:iCs/>
                <w:szCs w:val="22"/>
              </w:rPr>
              <w:t xml:space="preserve"> n(%)</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7E2BC7" w:rsidRPr="0040771E" w14:paraId="79356775" w14:textId="77777777">
            <w:pPr>
              <w:keepNext/>
              <w:outlineLvl w:val="0"/>
              <w:rPr>
                <w:iCs/>
                <w:szCs w:val="22"/>
              </w:rPr>
            </w:pPr>
            <w:r w:rsidRPr="0040771E">
              <w:t>183 (33.7%)</w:t>
            </w:r>
          </w:p>
        </w:tc>
        <w:tc>
          <w:tcPr>
            <w:tcW w:w="1701" w:type="dxa"/>
            <w:tcBorders>
              <w:top w:val="single" w:sz="4" w:space="0" w:color="auto"/>
              <w:left w:val="single" w:sz="4" w:space="0" w:color="auto"/>
              <w:bottom w:val="single" w:sz="4" w:space="0" w:color="auto"/>
              <w:right w:val="nil"/>
            </w:tcBorders>
            <w:shd w:val="clear" w:color="auto" w:fill="FFFFFF"/>
          </w:tcPr>
          <w:p w:rsidR="007E2BC7" w:rsidRPr="0040771E" w14:paraId="10CEE672" w14:textId="77777777">
            <w:pPr>
              <w:keepNext/>
              <w:outlineLvl w:val="0"/>
              <w:rPr>
                <w:iCs/>
                <w:szCs w:val="22"/>
              </w:rPr>
            </w:pPr>
            <w:r w:rsidRPr="0040771E">
              <w:t>108 (19.9%)</w:t>
            </w:r>
          </w:p>
        </w:tc>
        <w:tc>
          <w:tcPr>
            <w:tcW w:w="1267" w:type="dxa"/>
            <w:tcBorders>
              <w:top w:val="single" w:sz="4" w:space="0" w:color="auto"/>
            </w:tcBorders>
          </w:tcPr>
          <w:p w:rsidR="007E2BC7" w:rsidRPr="0040771E" w14:paraId="6C6B6F77" w14:textId="77777777">
            <w:pPr>
              <w:keepNext/>
              <w:outlineLvl w:val="0"/>
              <w:rPr>
                <w:iCs/>
                <w:szCs w:val="22"/>
              </w:rPr>
            </w:pPr>
            <w:r w:rsidRPr="0040771E">
              <w:rPr>
                <w:szCs w:val="22"/>
                <w:lang w:eastAsia="en-GB"/>
              </w:rPr>
              <w:t>&lt;0.0001</w:t>
            </w:r>
          </w:p>
        </w:tc>
      </w:tr>
      <w:tr w14:paraId="107FF61E" w14:textId="77777777">
        <w:tblPrEx>
          <w:tblW w:w="8773" w:type="dxa"/>
          <w:jc w:val="center"/>
          <w:tblLook w:val="04A0"/>
        </w:tblPrEx>
        <w:trPr>
          <w:cantSplit/>
          <w:jc w:val="center"/>
        </w:trPr>
        <w:tc>
          <w:tcPr>
            <w:tcW w:w="4104" w:type="dxa"/>
            <w:tcBorders>
              <w:top w:val="single" w:sz="4" w:space="0" w:color="auto"/>
              <w:left w:val="single" w:sz="4" w:space="0" w:color="auto"/>
              <w:bottom w:val="single" w:sz="4" w:space="0" w:color="auto"/>
              <w:right w:val="single" w:sz="4" w:space="0" w:color="auto"/>
            </w:tcBorders>
          </w:tcPr>
          <w:p w:rsidR="007E2BC7" w:rsidRPr="0040771E" w14:paraId="4795C62D" w14:textId="77777777">
            <w:pPr>
              <w:keepNext/>
              <w:ind w:left="567"/>
              <w:outlineLvl w:val="0"/>
              <w:rPr>
                <w:iCs/>
                <w:szCs w:val="22"/>
              </w:rPr>
            </w:pPr>
            <w:r w:rsidRPr="0040771E">
              <w:rPr>
                <w:iCs/>
                <w:szCs w:val="22"/>
              </w:rPr>
              <w:t>95% CI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7E2BC7" w:rsidRPr="0040771E" w14:paraId="57E09060" w14:textId="77777777">
            <w:pPr>
              <w:keepNext/>
              <w:outlineLvl w:val="0"/>
              <w:rPr>
                <w:iCs/>
                <w:szCs w:val="22"/>
              </w:rPr>
            </w:pPr>
            <w:r w:rsidRPr="0040771E">
              <w:t>(29.7%, 37.9%)</w:t>
            </w:r>
          </w:p>
        </w:tc>
        <w:tc>
          <w:tcPr>
            <w:tcW w:w="1701" w:type="dxa"/>
            <w:tcBorders>
              <w:top w:val="single" w:sz="4" w:space="0" w:color="auto"/>
              <w:left w:val="single" w:sz="4" w:space="0" w:color="auto"/>
              <w:bottom w:val="single" w:sz="4" w:space="0" w:color="auto"/>
              <w:right w:val="nil"/>
            </w:tcBorders>
            <w:shd w:val="clear" w:color="auto" w:fill="FFFFFF"/>
          </w:tcPr>
          <w:p w:rsidR="007E2BC7" w:rsidRPr="0040771E" w14:paraId="5D0F9F85" w14:textId="77777777">
            <w:pPr>
              <w:keepNext/>
              <w:outlineLvl w:val="0"/>
              <w:rPr>
                <w:iCs/>
                <w:szCs w:val="22"/>
              </w:rPr>
            </w:pPr>
            <w:r w:rsidRPr="0040771E">
              <w:t>(16.6%, 23.5%)</w:t>
            </w:r>
          </w:p>
        </w:tc>
        <w:tc>
          <w:tcPr>
            <w:tcW w:w="1267" w:type="dxa"/>
          </w:tcPr>
          <w:p w:rsidR="007E2BC7" w:rsidRPr="0040771E" w14:paraId="3B6799B1" w14:textId="77777777">
            <w:pPr>
              <w:keepNext/>
              <w:outlineLvl w:val="0"/>
              <w:rPr>
                <w:iCs/>
                <w:szCs w:val="22"/>
              </w:rPr>
            </w:pPr>
          </w:p>
        </w:tc>
      </w:tr>
      <w:tr w14:paraId="0117DCF7" w14:textId="77777777">
        <w:tblPrEx>
          <w:tblW w:w="8773" w:type="dxa"/>
          <w:jc w:val="center"/>
          <w:tblLook w:val="04A0"/>
        </w:tblPrEx>
        <w:trPr>
          <w:cantSplit/>
          <w:jc w:val="center"/>
        </w:trPr>
        <w:tc>
          <w:tcPr>
            <w:tcW w:w="4104" w:type="dxa"/>
            <w:tcBorders>
              <w:top w:val="single" w:sz="4" w:space="0" w:color="auto"/>
              <w:left w:val="single" w:sz="4" w:space="0" w:color="auto"/>
              <w:bottom w:val="single" w:sz="4" w:space="0" w:color="auto"/>
              <w:right w:val="single" w:sz="4" w:space="0" w:color="auto"/>
            </w:tcBorders>
          </w:tcPr>
          <w:p w:rsidR="007E2BC7" w:rsidRPr="0040771E" w14:paraId="18119612" w14:textId="77777777">
            <w:pPr>
              <w:keepNext/>
              <w:ind w:left="567"/>
              <w:outlineLvl w:val="0"/>
              <w:rPr>
                <w:iCs/>
                <w:szCs w:val="22"/>
              </w:rPr>
            </w:pPr>
            <w:r w:rsidRPr="0040771E">
              <w:rPr>
                <w:iCs/>
                <w:szCs w:val="22"/>
              </w:rPr>
              <w:t>Odds ratio with 95% CI</w:t>
            </w:r>
            <w:r w:rsidRPr="0040771E">
              <w:rPr>
                <w:iCs/>
                <w:szCs w:val="22"/>
                <w:vertAlign w:val="superscript"/>
              </w:rPr>
              <w:t>e</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FFFFF"/>
          </w:tcPr>
          <w:p w:rsidR="007E2BC7" w:rsidRPr="0040771E" w14:paraId="75B6FAB7" w14:textId="77777777">
            <w:pPr>
              <w:keepNext/>
              <w:outlineLvl w:val="0"/>
              <w:rPr>
                <w:iCs/>
                <w:szCs w:val="22"/>
              </w:rPr>
            </w:pPr>
            <w:r w:rsidRPr="0040771E">
              <w:t>2.06 (1.56, 2.72)</w:t>
            </w:r>
          </w:p>
        </w:tc>
        <w:tc>
          <w:tcPr>
            <w:tcW w:w="1267" w:type="dxa"/>
            <w:tcBorders>
              <w:top w:val="nil"/>
              <w:left w:val="single" w:sz="4" w:space="0" w:color="auto"/>
              <w:bottom w:val="single" w:sz="4" w:space="0" w:color="auto"/>
              <w:right w:val="single" w:sz="4" w:space="0" w:color="auto"/>
            </w:tcBorders>
          </w:tcPr>
          <w:p w:rsidR="007E2BC7" w:rsidRPr="0040771E" w14:paraId="07BD37F1" w14:textId="77777777">
            <w:pPr>
              <w:keepNext/>
              <w:outlineLvl w:val="0"/>
              <w:rPr>
                <w:iCs/>
                <w:szCs w:val="22"/>
              </w:rPr>
            </w:pPr>
          </w:p>
        </w:tc>
      </w:tr>
      <w:tr w14:paraId="6A4806D7" w14:textId="77777777">
        <w:tblPrEx>
          <w:tblW w:w="8773" w:type="dxa"/>
          <w:jc w:val="center"/>
          <w:tblLook w:val="04A0"/>
        </w:tblPrEx>
        <w:trPr>
          <w:cantSplit/>
          <w:jc w:val="center"/>
        </w:trPr>
        <w:tc>
          <w:tcPr>
            <w:tcW w:w="8773" w:type="dxa"/>
            <w:gridSpan w:val="4"/>
            <w:tcBorders>
              <w:top w:val="single" w:sz="4" w:space="0" w:color="auto"/>
              <w:left w:val="nil"/>
              <w:bottom w:val="nil"/>
              <w:right w:val="nil"/>
            </w:tcBorders>
          </w:tcPr>
          <w:p w:rsidR="007E2BC7" w:rsidRPr="0040771E" w14:paraId="0B849CFE" w14:textId="77777777">
            <w:pPr>
              <w:keepNext/>
              <w:outlineLvl w:val="0"/>
              <w:rPr>
                <w:iCs/>
                <w:sz w:val="18"/>
                <w:szCs w:val="18"/>
              </w:rPr>
            </w:pPr>
            <w:r w:rsidRPr="0040771E">
              <w:rPr>
                <w:iCs/>
                <w:sz w:val="18"/>
                <w:szCs w:val="18"/>
              </w:rPr>
              <w:t>D-VTd=daratumumab-bortezomib-thalidomide-dexamethasone; VTd=bortezomib-thalidomide-dexamethasone; MRD=minimal residual disease; CI=confidence interval</w:t>
            </w:r>
          </w:p>
          <w:p w:rsidR="007E2BC7" w:rsidRPr="0040771E" w14:paraId="798764A8" w14:textId="77777777">
            <w:pPr>
              <w:keepNext/>
              <w:ind w:left="360" w:hanging="360"/>
              <w:outlineLvl w:val="0"/>
              <w:rPr>
                <w:iCs/>
                <w:sz w:val="18"/>
                <w:szCs w:val="18"/>
              </w:rPr>
            </w:pPr>
            <w:r w:rsidRPr="0040771E">
              <w:rPr>
                <w:iCs/>
                <w:szCs w:val="22"/>
                <w:vertAlign w:val="superscript"/>
              </w:rPr>
              <w:t>a</w:t>
            </w:r>
            <w:r w:rsidRPr="0040771E">
              <w:rPr>
                <w:iCs/>
                <w:sz w:val="18"/>
                <w:szCs w:val="18"/>
              </w:rPr>
              <w:tab/>
              <w:t xml:space="preserve">Based on intent-to-treat population </w:t>
            </w:r>
          </w:p>
          <w:p w:rsidR="007E2BC7" w:rsidRPr="0040771E" w14:paraId="5A2D8910" w14:textId="77777777">
            <w:pPr>
              <w:keepNext/>
              <w:ind w:left="360" w:hanging="360"/>
              <w:outlineLvl w:val="0"/>
              <w:rPr>
                <w:iCs/>
                <w:sz w:val="18"/>
                <w:szCs w:val="18"/>
              </w:rPr>
            </w:pPr>
            <w:r w:rsidRPr="0040771E">
              <w:rPr>
                <w:iCs/>
                <w:szCs w:val="22"/>
                <w:vertAlign w:val="superscript"/>
              </w:rPr>
              <w:t>b</w:t>
            </w:r>
            <w:r w:rsidRPr="0040771E">
              <w:rPr>
                <w:iCs/>
                <w:sz w:val="18"/>
                <w:szCs w:val="18"/>
              </w:rPr>
              <w:tab/>
              <w:t>p-value from Cochran Mantel-Haenszel Chi-Squared test.</w:t>
            </w:r>
          </w:p>
          <w:p w:rsidR="007E2BC7" w:rsidRPr="0040771E" w14:paraId="1FF00EFE" w14:textId="77777777">
            <w:pPr>
              <w:keepNext/>
              <w:ind w:left="360" w:hanging="360"/>
              <w:outlineLvl w:val="0"/>
              <w:rPr>
                <w:iCs/>
                <w:sz w:val="18"/>
                <w:szCs w:val="18"/>
                <w:vertAlign w:val="superscript"/>
              </w:rPr>
            </w:pPr>
            <w:r w:rsidRPr="0040771E">
              <w:rPr>
                <w:iCs/>
                <w:szCs w:val="22"/>
                <w:vertAlign w:val="superscript"/>
              </w:rPr>
              <w:t>c</w:t>
            </w:r>
            <w:r w:rsidRPr="0040771E">
              <w:rPr>
                <w:iCs/>
                <w:sz w:val="18"/>
                <w:szCs w:val="18"/>
              </w:rPr>
              <w:tab/>
              <w:t>Based on threshold of 10</w:t>
            </w:r>
            <w:r w:rsidRPr="0040771E">
              <w:rPr>
                <w:iCs/>
                <w:sz w:val="18"/>
                <w:szCs w:val="18"/>
                <w:vertAlign w:val="superscript"/>
              </w:rPr>
              <w:t>-5</w:t>
            </w:r>
          </w:p>
          <w:p w:rsidR="007E2BC7" w:rsidRPr="0040771E" w14:paraId="577BFA7E" w14:textId="77777777">
            <w:pPr>
              <w:keepNext/>
              <w:ind w:left="360" w:hanging="360"/>
              <w:outlineLvl w:val="0"/>
              <w:rPr>
                <w:iCs/>
                <w:sz w:val="18"/>
                <w:szCs w:val="18"/>
              </w:rPr>
            </w:pPr>
            <w:r w:rsidRPr="0040771E">
              <w:rPr>
                <w:iCs/>
                <w:szCs w:val="22"/>
                <w:vertAlign w:val="superscript"/>
              </w:rPr>
              <w:t>d</w:t>
            </w:r>
            <w:r w:rsidRPr="0040771E">
              <w:rPr>
                <w:iCs/>
                <w:sz w:val="18"/>
                <w:szCs w:val="18"/>
              </w:rPr>
              <w:tab/>
              <w:t>Regardless of response per IMWG</w:t>
            </w:r>
          </w:p>
          <w:p w:rsidR="007E2BC7" w:rsidRPr="0040771E" w14:paraId="4A4593E8" w14:textId="77777777">
            <w:pPr>
              <w:keepNext/>
              <w:ind w:left="360" w:hanging="360"/>
              <w:outlineLvl w:val="0"/>
              <w:rPr>
                <w:iCs/>
                <w:sz w:val="18"/>
                <w:szCs w:val="18"/>
              </w:rPr>
            </w:pPr>
            <w:r w:rsidRPr="0040771E">
              <w:rPr>
                <w:iCs/>
                <w:szCs w:val="22"/>
                <w:vertAlign w:val="superscript"/>
              </w:rPr>
              <w:t>e</w:t>
            </w:r>
            <w:r w:rsidRPr="0040771E">
              <w:rPr>
                <w:iCs/>
                <w:sz w:val="18"/>
                <w:szCs w:val="18"/>
                <w:vertAlign w:val="superscript"/>
              </w:rPr>
              <w:tab/>
            </w:r>
            <w:r w:rsidRPr="0040771E">
              <w:rPr>
                <w:iCs/>
                <w:sz w:val="18"/>
                <w:szCs w:val="18"/>
              </w:rPr>
              <w:t>Mantel-Haenszel estimate of the common odds ratio for stratified tables is used.</w:t>
            </w:r>
          </w:p>
        </w:tc>
      </w:tr>
    </w:tbl>
    <w:p w:rsidR="007E2BC7" w:rsidRPr="0040771E" w14:paraId="683B64F5" w14:textId="77777777">
      <w:pPr>
        <w:rPr>
          <w:iCs/>
          <w:szCs w:val="22"/>
        </w:rPr>
      </w:pPr>
    </w:p>
    <w:p w:rsidR="007E2BC7" w:rsidRPr="0040771E" w14:paraId="499CF8B3" w14:textId="77777777">
      <w:pPr>
        <w:rPr>
          <w:iCs/>
        </w:rPr>
      </w:pPr>
      <w:bookmarkStart w:id="38" w:name="_Hlk536623677"/>
    </w:p>
    <w:p w:rsidR="007E2BC7" w:rsidRPr="0040771E" w14:paraId="25FDC1DF" w14:textId="77777777">
      <w:pPr>
        <w:rPr>
          <w:iCs/>
        </w:rPr>
      </w:pPr>
      <w:r w:rsidRPr="0040771E">
        <w:rPr>
          <w:bCs/>
          <w:iCs/>
          <w:color w:val="000000"/>
          <w:szCs w:val="22"/>
        </w:rPr>
        <w:t xml:space="preserve">With a median follow-up of 18.8 months, the primary analysis of PFS </w:t>
      </w:r>
      <w:r w:rsidRPr="0040771E">
        <w:rPr>
          <w:iCs/>
        </w:rPr>
        <w:t>by censoring patients who were randomised to daratumumab maintenance in the second randomisation at the date of the second randomisation showed HR=0.50; 95% CI: 0.34, 0.75; p=0.0005. Results of an updated PFS analysis with a median follow-up of 44.5 months, censoring patients who were randomised to daratumumab maintenance in the second randomisation, showed HR=0.43; 95% CI: 0.33, 0.55; p &lt; 0.0001. Median PFS was not reached in the D</w:t>
      </w:r>
      <w:r w:rsidRPr="0040771E">
        <w:rPr>
          <w:iCs/>
        </w:rPr>
        <w:noBreakHyphen/>
        <w:t>VTd arm and was 37.8 months in the VTd arm.</w:t>
      </w:r>
    </w:p>
    <w:p w:rsidR="007E2BC7" w:rsidRPr="0040771E" w14:paraId="13034F7F" w14:textId="77777777">
      <w:pPr>
        <w:rPr>
          <w:iCs/>
        </w:rPr>
      </w:pPr>
    </w:p>
    <w:p w:rsidR="007E2BC7" w:rsidRPr="0040771E" w14:paraId="010D798E" w14:textId="77777777">
      <w:pPr>
        <w:rPr>
          <w:iCs/>
        </w:rPr>
      </w:pPr>
    </w:p>
    <w:p w:rsidR="007E2BC7" w:rsidRPr="0040771E" w14:paraId="7CFCFBD2" w14:textId="77777777">
      <w:pPr>
        <w:keepNext/>
        <w:rPr>
          <w:sz w:val="24"/>
          <w:szCs w:val="22"/>
        </w:rPr>
      </w:pPr>
      <w:r w:rsidRPr="0040771E">
        <w:rPr>
          <w:b/>
          <w:bCs/>
        </w:rPr>
        <w:t>Figure 5:</w:t>
      </w:r>
      <w:r w:rsidRPr="0040771E">
        <w:rPr>
          <w:b/>
          <w:bCs/>
        </w:rPr>
        <w:tab/>
        <w:t>Kaplan-Meier curve of PFS in study MMY3006</w:t>
      </w:r>
    </w:p>
    <w:p w:rsidR="007E2BC7" w:rsidRPr="0040771E" w14:paraId="1055B32F" w14:textId="77777777">
      <w:pPr>
        <w:keepNext/>
        <w:tabs>
          <w:tab w:val="clear" w:pos="567"/>
          <w:tab w:val="left" w:pos="1152"/>
        </w:tabs>
        <w:ind w:left="1134" w:hanging="1134"/>
        <w:rPr>
          <w:b/>
          <w:bCs/>
        </w:rPr>
      </w:pPr>
    </w:p>
    <w:p w:rsidR="007E2BC7" w:rsidRPr="0040771E" w14:paraId="42C7D5E2" w14:textId="77777777">
      <w:pPr>
        <w:rPr>
          <w:b/>
          <w:bCs/>
        </w:rPr>
      </w:pPr>
      <w:r w:rsidRPr="0040771E">
        <w:rPr>
          <w:b/>
          <w:bCs/>
        </w:rPr>
        <w:drawing>
          <wp:inline distT="0" distB="0" distL="0" distR="0">
            <wp:extent cx="5372100" cy="4886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258358" name="Picture 47"/>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5372100" cy="4886325"/>
                    </a:xfrm>
                    <a:prstGeom prst="rect">
                      <a:avLst/>
                    </a:prstGeom>
                    <a:noFill/>
                    <a:ln>
                      <a:noFill/>
                    </a:ln>
                  </pic:spPr>
                </pic:pic>
              </a:graphicData>
            </a:graphic>
          </wp:inline>
        </w:drawing>
      </w:r>
    </w:p>
    <w:p w:rsidR="007E2BC7" w:rsidRPr="0040771E" w14:paraId="076527B5" w14:textId="77777777">
      <w:pPr>
        <w:rPr>
          <w:iCs/>
        </w:rPr>
      </w:pPr>
    </w:p>
    <w:p w:rsidR="007E2BC7" w:rsidRPr="0040771E" w14:paraId="4EB0EDBF" w14:textId="77777777">
      <w:pPr>
        <w:rPr>
          <w:iCs/>
        </w:rPr>
      </w:pPr>
    </w:p>
    <w:p w:rsidR="007E2BC7" w:rsidRPr="0040771E" w14:paraId="749D8B8E" w14:textId="77777777">
      <w:pPr>
        <w:rPr>
          <w:iCs/>
        </w:rPr>
      </w:pPr>
    </w:p>
    <w:bookmarkEnd w:id="35"/>
    <w:bookmarkEnd w:id="36"/>
    <w:bookmarkEnd w:id="38"/>
    <w:p w:rsidR="007E2BC7" w:rsidRPr="0040771E" w14:paraId="5AFFB840" w14:textId="77777777">
      <w:pPr>
        <w:keepNext/>
        <w:outlineLvl w:val="3"/>
        <w:rPr>
          <w:bCs/>
          <w:i/>
          <w:iCs/>
          <w:szCs w:val="22"/>
        </w:rPr>
      </w:pPr>
      <w:r w:rsidRPr="0040771E">
        <w:rPr>
          <w:bCs/>
          <w:i/>
          <w:iCs/>
          <w:szCs w:val="22"/>
        </w:rPr>
        <w:t>Relapsed/refractory multiple myeloma</w:t>
      </w:r>
    </w:p>
    <w:p w:rsidR="007E2BC7" w:rsidRPr="0040771E" w14:paraId="1F4C5E39" w14:textId="77777777">
      <w:pPr>
        <w:keepNext/>
      </w:pPr>
      <w:r w:rsidRPr="0040771E">
        <w:t>Monotherapy:</w:t>
      </w:r>
    </w:p>
    <w:p w:rsidR="007E2BC7" w:rsidRPr="0040771E" w14:paraId="4FC7648F" w14:textId="012FFDFE">
      <w:pPr>
        <w:rPr>
          <w:bCs/>
          <w:iCs/>
          <w:szCs w:val="22"/>
        </w:rPr>
      </w:pPr>
      <w:r w:rsidRPr="0040771E">
        <w:rPr>
          <w:bCs/>
          <w:iCs/>
          <w:szCs w:val="22"/>
        </w:rPr>
        <w:t xml:space="preserve">The clinical efficacy and safety of </w:t>
      </w:r>
      <w:r w:rsidR="00E65908">
        <w:rPr>
          <w:bCs/>
          <w:iCs/>
          <w:szCs w:val="22"/>
        </w:rPr>
        <w:t>DARZALEX</w:t>
      </w:r>
      <w:r w:rsidRPr="0040771E">
        <w:rPr>
          <w:bCs/>
          <w:iCs/>
          <w:szCs w:val="22"/>
        </w:rPr>
        <w:t xml:space="preserve"> monotherapy for the treatment of adult patients with relapsed and refractory multiple myeloma whose prior therapy included a proteasome inhibitor and an immunomodulatory agent and who had demonstrated disease progression on the last therapy, was demonstrated in two open</w:t>
      </w:r>
      <w:r w:rsidRPr="0040771E">
        <w:rPr>
          <w:bCs/>
          <w:iCs/>
          <w:szCs w:val="22"/>
        </w:rPr>
        <w:noBreakHyphen/>
        <w:t>label studies.</w:t>
      </w:r>
    </w:p>
    <w:p w:rsidR="007E2BC7" w:rsidRPr="0040771E" w14:paraId="2F69901A" w14:textId="77777777">
      <w:pPr>
        <w:rPr>
          <w:bCs/>
          <w:iCs/>
          <w:szCs w:val="22"/>
        </w:rPr>
      </w:pPr>
    </w:p>
    <w:p w:rsidR="007E2BC7" w:rsidRPr="0040771E" w14:paraId="7FC9FA3A" w14:textId="292FBCA3">
      <w:pPr>
        <w:rPr>
          <w:bCs/>
          <w:iCs/>
          <w:szCs w:val="22"/>
        </w:rPr>
      </w:pPr>
      <w:r w:rsidRPr="0040771E">
        <w:rPr>
          <w:bCs/>
          <w:iCs/>
          <w:szCs w:val="22"/>
        </w:rPr>
        <w:t xml:space="preserve">In study MMY2002, 106 patients with relapsed and refractory multiple myeloma received 16 mg/kg </w:t>
      </w:r>
      <w:r w:rsidR="00E65908">
        <w:rPr>
          <w:bCs/>
          <w:iCs/>
          <w:szCs w:val="22"/>
        </w:rPr>
        <w:t>DARZALEX</w:t>
      </w:r>
      <w:r w:rsidRPr="0040771E">
        <w:rPr>
          <w:bCs/>
          <w:iCs/>
          <w:szCs w:val="22"/>
        </w:rPr>
        <w:t xml:space="preserve"> until disease progression. The median patient age was 63.5 years (range, 31 to 84 years), 11% of patients were ≥75 years of age, 49% were male and 79% were Caucasian. Patients had received a median of 5 prior lines of therapy. Eighty percent of patients had received prior autologous stem cell transplantation (ASCT). Prior therapies included bortezomib (99%), lenalidomide (99%), pomalidomide (63%) and carfilzomib (50%). At baseline, 97% of patients were refractory to the last line of treatment, 95% were refractory to both, a proteasome inhibitor (PI) and immunomodulatory agent (IMiD), 77% were refractory to alkylating agents, 63% were refractory to pomalidomide and 48% of patients were refractory to carfilzomib.</w:t>
      </w:r>
    </w:p>
    <w:p w:rsidR="007E2BC7" w:rsidRPr="0040771E" w14:paraId="02917989" w14:textId="77777777">
      <w:pPr>
        <w:rPr>
          <w:bCs/>
          <w:iCs/>
          <w:szCs w:val="22"/>
        </w:rPr>
      </w:pPr>
    </w:p>
    <w:p w:rsidR="007E2BC7" w:rsidRPr="0040771E" w14:paraId="21F036FE" w14:textId="77777777">
      <w:pPr>
        <w:rPr>
          <w:bCs/>
          <w:iCs/>
          <w:szCs w:val="22"/>
        </w:rPr>
      </w:pPr>
      <w:r w:rsidRPr="0040771E">
        <w:rPr>
          <w:bCs/>
          <w:iCs/>
          <w:szCs w:val="22"/>
        </w:rPr>
        <w:t>Efficacy results of the pre</w:t>
      </w:r>
      <w:r w:rsidRPr="0040771E">
        <w:rPr>
          <w:bCs/>
          <w:iCs/>
          <w:szCs w:val="22"/>
        </w:rPr>
        <w:noBreakHyphen/>
        <w:t>planned interim analysis based on Independent Review Committee (IRC) assessment are presented in table 10 below.</w:t>
      </w:r>
    </w:p>
    <w:p w:rsidR="007E2BC7" w:rsidRPr="0040771E" w14:paraId="177A66ED" w14:textId="77777777"/>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7"/>
        <w:gridCol w:w="3365"/>
      </w:tblGrid>
      <w:tr w14:paraId="09C30F61" w14:textId="77777777">
        <w:tblPrEx>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9072" w:type="dxa"/>
            <w:gridSpan w:val="2"/>
            <w:tcBorders>
              <w:top w:val="nil"/>
              <w:left w:val="nil"/>
              <w:bottom w:val="single" w:sz="4" w:space="0" w:color="auto"/>
              <w:right w:val="nil"/>
            </w:tcBorders>
          </w:tcPr>
          <w:p w:rsidR="007E2BC7" w:rsidRPr="0040771E" w14:paraId="4DCB4280" w14:textId="77777777">
            <w:pPr>
              <w:keepNext/>
              <w:rPr>
                <w:b/>
              </w:rPr>
            </w:pPr>
            <w:r w:rsidRPr="0040771E">
              <w:rPr>
                <w:b/>
              </w:rPr>
              <w:t>Table 10:</w:t>
            </w:r>
            <w:r w:rsidRPr="0040771E">
              <w:rPr>
                <w:b/>
              </w:rPr>
              <w:tab/>
              <w:t>IRC assessed efficacy results for study MMY2002</w:t>
            </w:r>
          </w:p>
        </w:tc>
      </w:tr>
      <w:tr w14:paraId="2E2C9AEF" w14:textId="77777777">
        <w:tblPrEx>
          <w:tblW w:w="9072" w:type="dxa"/>
          <w:jc w:val="center"/>
          <w:tblLook w:val="04A0"/>
        </w:tblPrEx>
        <w:trPr>
          <w:cantSplit/>
          <w:jc w:val="center"/>
        </w:trPr>
        <w:tc>
          <w:tcPr>
            <w:tcW w:w="5707" w:type="dxa"/>
            <w:tcBorders>
              <w:top w:val="single" w:sz="4" w:space="0" w:color="auto"/>
              <w:bottom w:val="single" w:sz="4" w:space="0" w:color="auto"/>
            </w:tcBorders>
          </w:tcPr>
          <w:p w:rsidR="007E2BC7" w:rsidRPr="0040771E" w14:paraId="1B31BEC7" w14:textId="77777777">
            <w:pPr>
              <w:keepNext/>
              <w:rPr>
                <w:b/>
              </w:rPr>
            </w:pPr>
            <w:r w:rsidRPr="0040771E">
              <w:rPr>
                <w:b/>
              </w:rPr>
              <w:t>Efficacy endpoint</w:t>
            </w:r>
          </w:p>
        </w:tc>
        <w:tc>
          <w:tcPr>
            <w:tcW w:w="3365" w:type="dxa"/>
            <w:tcBorders>
              <w:top w:val="single" w:sz="4" w:space="0" w:color="auto"/>
              <w:bottom w:val="single" w:sz="4" w:space="0" w:color="auto"/>
            </w:tcBorders>
          </w:tcPr>
          <w:p w:rsidR="007E2BC7" w:rsidRPr="0040771E" w14:paraId="5E709728" w14:textId="27647802">
            <w:pPr>
              <w:keepNext/>
              <w:jc w:val="center"/>
              <w:rPr>
                <w:b/>
              </w:rPr>
            </w:pPr>
            <w:r>
              <w:rPr>
                <w:b/>
              </w:rPr>
              <w:t>DARZALEX</w:t>
            </w:r>
            <w:r w:rsidRPr="0040771E" w:rsidR="00A14273">
              <w:rPr>
                <w:b/>
              </w:rPr>
              <w:t xml:space="preserve"> 16 mg/kg</w:t>
            </w:r>
          </w:p>
          <w:p w:rsidR="007E2BC7" w:rsidRPr="0040771E" w14:paraId="2063C295" w14:textId="77777777">
            <w:pPr>
              <w:keepNext/>
              <w:jc w:val="center"/>
              <w:rPr>
                <w:b/>
              </w:rPr>
            </w:pPr>
            <w:r w:rsidRPr="0040771E">
              <w:rPr>
                <w:b/>
              </w:rPr>
              <w:t>N=106</w:t>
            </w:r>
          </w:p>
        </w:tc>
      </w:tr>
      <w:tr w14:paraId="73CFC029" w14:textId="77777777">
        <w:tblPrEx>
          <w:tblW w:w="9072" w:type="dxa"/>
          <w:jc w:val="center"/>
          <w:tblLook w:val="04A0"/>
        </w:tblPrEx>
        <w:trPr>
          <w:cantSplit/>
          <w:jc w:val="center"/>
        </w:trPr>
        <w:tc>
          <w:tcPr>
            <w:tcW w:w="5707" w:type="dxa"/>
            <w:tcBorders>
              <w:top w:val="single" w:sz="4" w:space="0" w:color="auto"/>
              <w:left w:val="single" w:sz="4" w:space="0" w:color="auto"/>
              <w:bottom w:val="nil"/>
              <w:right w:val="single" w:sz="4" w:space="0" w:color="auto"/>
            </w:tcBorders>
          </w:tcPr>
          <w:p w:rsidR="007E2BC7" w:rsidRPr="0040771E" w14:paraId="00407D46" w14:textId="77777777">
            <w:pPr>
              <w:keepNext/>
              <w:rPr>
                <w:szCs w:val="22"/>
              </w:rPr>
            </w:pPr>
            <w:r w:rsidRPr="0040771E">
              <w:rPr>
                <w:szCs w:val="22"/>
              </w:rPr>
              <w:t>Overall response rate</w:t>
            </w:r>
            <w:r w:rsidRPr="0040771E">
              <w:rPr>
                <w:szCs w:val="22"/>
                <w:vertAlign w:val="superscript"/>
              </w:rPr>
              <w:t>1</w:t>
            </w:r>
            <w:r w:rsidRPr="0040771E">
              <w:rPr>
                <w:szCs w:val="22"/>
              </w:rPr>
              <w:t xml:space="preserve"> (ORR: sCR+CR+VGPR+PR) [n (%)]</w:t>
            </w:r>
          </w:p>
        </w:tc>
        <w:tc>
          <w:tcPr>
            <w:tcW w:w="3365" w:type="dxa"/>
            <w:tcBorders>
              <w:top w:val="single" w:sz="4" w:space="0" w:color="auto"/>
              <w:left w:val="single" w:sz="4" w:space="0" w:color="auto"/>
              <w:bottom w:val="nil"/>
              <w:right w:val="single" w:sz="4" w:space="0" w:color="auto"/>
            </w:tcBorders>
          </w:tcPr>
          <w:p w:rsidR="007E2BC7" w:rsidRPr="0040771E" w14:paraId="45128D9E" w14:textId="77777777">
            <w:pPr>
              <w:keepNext/>
              <w:jc w:val="center"/>
              <w:rPr>
                <w:szCs w:val="22"/>
              </w:rPr>
            </w:pPr>
            <w:r w:rsidRPr="0040771E">
              <w:rPr>
                <w:szCs w:val="22"/>
              </w:rPr>
              <w:t>31 (29.2)</w:t>
            </w:r>
          </w:p>
        </w:tc>
      </w:tr>
      <w:tr w14:paraId="67389F77" w14:textId="77777777">
        <w:tblPrEx>
          <w:tblW w:w="9072" w:type="dxa"/>
          <w:jc w:val="center"/>
          <w:tblLook w:val="04A0"/>
        </w:tblPrEx>
        <w:trPr>
          <w:cantSplit/>
          <w:jc w:val="center"/>
        </w:trPr>
        <w:tc>
          <w:tcPr>
            <w:tcW w:w="5707" w:type="dxa"/>
            <w:tcBorders>
              <w:top w:val="nil"/>
              <w:left w:val="single" w:sz="4" w:space="0" w:color="auto"/>
              <w:bottom w:val="single" w:sz="4" w:space="0" w:color="auto"/>
              <w:right w:val="single" w:sz="4" w:space="0" w:color="auto"/>
            </w:tcBorders>
          </w:tcPr>
          <w:p w:rsidR="007E2BC7" w:rsidRPr="0040771E" w14:paraId="040BE45A" w14:textId="77777777">
            <w:pPr>
              <w:keepNext/>
              <w:rPr>
                <w:szCs w:val="22"/>
              </w:rPr>
            </w:pPr>
            <w:r w:rsidRPr="0040771E">
              <w:rPr>
                <w:szCs w:val="22"/>
              </w:rPr>
              <w:t>95% CI (%)</w:t>
            </w:r>
          </w:p>
        </w:tc>
        <w:tc>
          <w:tcPr>
            <w:tcW w:w="3365" w:type="dxa"/>
            <w:tcBorders>
              <w:top w:val="nil"/>
              <w:left w:val="single" w:sz="4" w:space="0" w:color="auto"/>
              <w:bottom w:val="single" w:sz="4" w:space="0" w:color="auto"/>
              <w:right w:val="single" w:sz="4" w:space="0" w:color="auto"/>
            </w:tcBorders>
          </w:tcPr>
          <w:p w:rsidR="007E2BC7" w:rsidRPr="0040771E" w14:paraId="5744031F" w14:textId="77777777">
            <w:pPr>
              <w:keepNext/>
              <w:jc w:val="center"/>
            </w:pPr>
            <w:r w:rsidRPr="0040771E">
              <w:t>(20.8, 38.9)</w:t>
            </w:r>
          </w:p>
        </w:tc>
      </w:tr>
      <w:tr w14:paraId="1B3DA375" w14:textId="77777777">
        <w:tblPrEx>
          <w:tblW w:w="9072" w:type="dxa"/>
          <w:jc w:val="center"/>
          <w:tblLook w:val="04A0"/>
        </w:tblPrEx>
        <w:trPr>
          <w:cantSplit/>
          <w:jc w:val="center"/>
        </w:trPr>
        <w:tc>
          <w:tcPr>
            <w:tcW w:w="5707" w:type="dxa"/>
            <w:tcBorders>
              <w:top w:val="single" w:sz="4" w:space="0" w:color="auto"/>
            </w:tcBorders>
          </w:tcPr>
          <w:p w:rsidR="007E2BC7" w:rsidRPr="0040771E" w14:paraId="024A84F5" w14:textId="77777777">
            <w:pPr>
              <w:ind w:left="567"/>
            </w:pPr>
            <w:r w:rsidRPr="0040771E">
              <w:t>Stringent complete response (sCR) [n (%)]</w:t>
            </w:r>
          </w:p>
        </w:tc>
        <w:tc>
          <w:tcPr>
            <w:tcW w:w="3365" w:type="dxa"/>
            <w:tcBorders>
              <w:top w:val="single" w:sz="4" w:space="0" w:color="auto"/>
            </w:tcBorders>
          </w:tcPr>
          <w:p w:rsidR="007E2BC7" w:rsidRPr="0040771E" w14:paraId="7FDB4D9E" w14:textId="77777777">
            <w:pPr>
              <w:jc w:val="center"/>
            </w:pPr>
            <w:r w:rsidRPr="0040771E">
              <w:t>3 (2.8)</w:t>
            </w:r>
          </w:p>
        </w:tc>
      </w:tr>
      <w:tr w14:paraId="4563A086" w14:textId="77777777">
        <w:tblPrEx>
          <w:tblW w:w="9072" w:type="dxa"/>
          <w:jc w:val="center"/>
          <w:tblLook w:val="04A0"/>
        </w:tblPrEx>
        <w:trPr>
          <w:cantSplit/>
          <w:jc w:val="center"/>
        </w:trPr>
        <w:tc>
          <w:tcPr>
            <w:tcW w:w="5707" w:type="dxa"/>
          </w:tcPr>
          <w:p w:rsidR="007E2BC7" w:rsidRPr="0040771E" w14:paraId="26B4900E" w14:textId="77777777">
            <w:pPr>
              <w:ind w:left="567"/>
            </w:pPr>
            <w:r w:rsidRPr="0040771E">
              <w:t>Complete response (CR) [n]</w:t>
            </w:r>
          </w:p>
        </w:tc>
        <w:tc>
          <w:tcPr>
            <w:tcW w:w="3365" w:type="dxa"/>
            <w:vAlign w:val="bottom"/>
          </w:tcPr>
          <w:p w:rsidR="007E2BC7" w:rsidRPr="0040771E" w14:paraId="780726AD" w14:textId="77777777">
            <w:pPr>
              <w:jc w:val="center"/>
            </w:pPr>
            <w:r w:rsidRPr="0040771E">
              <w:t>0</w:t>
            </w:r>
          </w:p>
        </w:tc>
      </w:tr>
      <w:tr w14:paraId="41B88CF7" w14:textId="77777777">
        <w:tblPrEx>
          <w:tblW w:w="9072" w:type="dxa"/>
          <w:jc w:val="center"/>
          <w:tblLook w:val="04A0"/>
        </w:tblPrEx>
        <w:trPr>
          <w:cantSplit/>
          <w:jc w:val="center"/>
        </w:trPr>
        <w:tc>
          <w:tcPr>
            <w:tcW w:w="5707" w:type="dxa"/>
          </w:tcPr>
          <w:p w:rsidR="007E2BC7" w:rsidRPr="0040771E" w14:paraId="1A122141" w14:textId="77777777">
            <w:pPr>
              <w:ind w:left="567"/>
            </w:pPr>
            <w:r w:rsidRPr="0040771E">
              <w:t>Very good partial response (VGPR) [n (%)]</w:t>
            </w:r>
          </w:p>
        </w:tc>
        <w:tc>
          <w:tcPr>
            <w:tcW w:w="3365" w:type="dxa"/>
            <w:vAlign w:val="bottom"/>
          </w:tcPr>
          <w:p w:rsidR="007E2BC7" w:rsidRPr="0040771E" w14:paraId="449275A8" w14:textId="77777777">
            <w:pPr>
              <w:jc w:val="center"/>
            </w:pPr>
            <w:r w:rsidRPr="0040771E">
              <w:t>10 (9.4)</w:t>
            </w:r>
          </w:p>
        </w:tc>
      </w:tr>
      <w:tr w14:paraId="1A0068BF" w14:textId="77777777">
        <w:tblPrEx>
          <w:tblW w:w="9072" w:type="dxa"/>
          <w:jc w:val="center"/>
          <w:tblLook w:val="04A0"/>
        </w:tblPrEx>
        <w:trPr>
          <w:cantSplit/>
          <w:jc w:val="center"/>
        </w:trPr>
        <w:tc>
          <w:tcPr>
            <w:tcW w:w="5707" w:type="dxa"/>
          </w:tcPr>
          <w:p w:rsidR="007E2BC7" w:rsidRPr="0040771E" w14:paraId="6004BEE3" w14:textId="77777777">
            <w:pPr>
              <w:ind w:left="567"/>
            </w:pPr>
            <w:r w:rsidRPr="0040771E">
              <w:t>Partial response (PR) [n (%)]</w:t>
            </w:r>
          </w:p>
        </w:tc>
        <w:tc>
          <w:tcPr>
            <w:tcW w:w="3365" w:type="dxa"/>
            <w:vAlign w:val="bottom"/>
          </w:tcPr>
          <w:p w:rsidR="007E2BC7" w:rsidRPr="0040771E" w14:paraId="311BFE88" w14:textId="77777777">
            <w:pPr>
              <w:jc w:val="center"/>
            </w:pPr>
            <w:r w:rsidRPr="0040771E">
              <w:t>18 (17.0)</w:t>
            </w:r>
          </w:p>
        </w:tc>
      </w:tr>
      <w:tr w14:paraId="019B8788" w14:textId="77777777">
        <w:tblPrEx>
          <w:tblW w:w="9072" w:type="dxa"/>
          <w:jc w:val="center"/>
          <w:tblLook w:val="04A0"/>
        </w:tblPrEx>
        <w:trPr>
          <w:cantSplit/>
          <w:jc w:val="center"/>
        </w:trPr>
        <w:tc>
          <w:tcPr>
            <w:tcW w:w="5707" w:type="dxa"/>
          </w:tcPr>
          <w:p w:rsidR="007E2BC7" w:rsidRPr="0040771E" w14:paraId="1CBF29DA" w14:textId="77777777">
            <w:pPr>
              <w:rPr>
                <w:szCs w:val="22"/>
              </w:rPr>
            </w:pPr>
            <w:bookmarkStart w:id="39" w:name="_Toc398041727"/>
            <w:bookmarkStart w:id="40" w:name="_Toc412813136"/>
            <w:r w:rsidRPr="0040771E">
              <w:rPr>
                <w:szCs w:val="22"/>
              </w:rPr>
              <w:t>Clinical benefit rate</w:t>
            </w:r>
            <w:bookmarkEnd w:id="39"/>
            <w:r w:rsidRPr="0040771E">
              <w:rPr>
                <w:szCs w:val="22"/>
              </w:rPr>
              <w:t xml:space="preserve"> (ORR+MR)</w:t>
            </w:r>
            <w:bookmarkEnd w:id="40"/>
            <w:r w:rsidRPr="0040771E">
              <w:rPr>
                <w:szCs w:val="22"/>
              </w:rPr>
              <w:t xml:space="preserve"> [n (%)]</w:t>
            </w:r>
          </w:p>
        </w:tc>
        <w:tc>
          <w:tcPr>
            <w:tcW w:w="3365" w:type="dxa"/>
          </w:tcPr>
          <w:p w:rsidR="007E2BC7" w:rsidRPr="0040771E" w14:paraId="6CB54817" w14:textId="77777777">
            <w:pPr>
              <w:jc w:val="center"/>
              <w:rPr>
                <w:bCs/>
                <w:iCs/>
              </w:rPr>
            </w:pPr>
            <w:r w:rsidRPr="0040771E">
              <w:rPr>
                <w:bCs/>
                <w:iCs/>
              </w:rPr>
              <w:t>36 (34.0)</w:t>
            </w:r>
          </w:p>
        </w:tc>
      </w:tr>
      <w:tr w14:paraId="2F62DA3F" w14:textId="77777777">
        <w:tblPrEx>
          <w:tblW w:w="9072" w:type="dxa"/>
          <w:jc w:val="center"/>
          <w:tblLook w:val="04A0"/>
        </w:tblPrEx>
        <w:trPr>
          <w:cantSplit/>
          <w:jc w:val="center"/>
        </w:trPr>
        <w:tc>
          <w:tcPr>
            <w:tcW w:w="5707" w:type="dxa"/>
          </w:tcPr>
          <w:p w:rsidR="007E2BC7" w:rsidRPr="0040771E" w14:paraId="46AB128B" w14:textId="77777777">
            <w:pPr>
              <w:rPr>
                <w:bCs/>
                <w:iCs/>
                <w:szCs w:val="22"/>
              </w:rPr>
            </w:pPr>
            <w:r w:rsidRPr="0040771E">
              <w:rPr>
                <w:szCs w:val="22"/>
              </w:rPr>
              <w:t xml:space="preserve">Median </w:t>
            </w:r>
            <w:r w:rsidRPr="0040771E">
              <w:rPr>
                <w:bCs/>
                <w:iCs/>
                <w:szCs w:val="22"/>
              </w:rPr>
              <w:t>duration of response [months (95% CI)]</w:t>
            </w:r>
          </w:p>
        </w:tc>
        <w:tc>
          <w:tcPr>
            <w:tcW w:w="3365" w:type="dxa"/>
          </w:tcPr>
          <w:p w:rsidR="007E2BC7" w:rsidRPr="0040771E" w14:paraId="2BF349CC" w14:textId="77777777">
            <w:pPr>
              <w:jc w:val="center"/>
              <w:rPr>
                <w:szCs w:val="22"/>
              </w:rPr>
            </w:pPr>
            <w:r w:rsidRPr="0040771E">
              <w:rPr>
                <w:bCs/>
                <w:iCs/>
                <w:szCs w:val="22"/>
              </w:rPr>
              <w:t>7.4 (5.5, NE)</w:t>
            </w:r>
          </w:p>
        </w:tc>
      </w:tr>
      <w:tr w14:paraId="244FDB0F" w14:textId="77777777">
        <w:tblPrEx>
          <w:tblW w:w="9072" w:type="dxa"/>
          <w:jc w:val="center"/>
          <w:tblLook w:val="04A0"/>
        </w:tblPrEx>
        <w:trPr>
          <w:cantSplit/>
          <w:jc w:val="center"/>
        </w:trPr>
        <w:tc>
          <w:tcPr>
            <w:tcW w:w="5707" w:type="dxa"/>
            <w:tcBorders>
              <w:bottom w:val="single" w:sz="4" w:space="0" w:color="auto"/>
            </w:tcBorders>
          </w:tcPr>
          <w:p w:rsidR="007E2BC7" w:rsidRPr="0040771E" w14:paraId="7E5B7322" w14:textId="77777777">
            <w:pPr>
              <w:rPr>
                <w:szCs w:val="22"/>
              </w:rPr>
            </w:pPr>
            <w:r w:rsidRPr="0040771E">
              <w:rPr>
                <w:szCs w:val="22"/>
              </w:rPr>
              <w:t>Median time to response [months (range)]</w:t>
            </w:r>
          </w:p>
        </w:tc>
        <w:tc>
          <w:tcPr>
            <w:tcW w:w="3365" w:type="dxa"/>
            <w:tcBorders>
              <w:bottom w:val="single" w:sz="4" w:space="0" w:color="auto"/>
            </w:tcBorders>
          </w:tcPr>
          <w:p w:rsidR="007E2BC7" w:rsidRPr="0040771E" w14:paraId="155CCDCC" w14:textId="77777777">
            <w:pPr>
              <w:jc w:val="center"/>
              <w:rPr>
                <w:szCs w:val="22"/>
              </w:rPr>
            </w:pPr>
            <w:r w:rsidRPr="0040771E">
              <w:rPr>
                <w:szCs w:val="22"/>
              </w:rPr>
              <w:t>1 (0.9; 5.6)</w:t>
            </w:r>
          </w:p>
        </w:tc>
      </w:tr>
      <w:tr w14:paraId="5B8A3194" w14:textId="77777777">
        <w:tblPrEx>
          <w:tblW w:w="9072" w:type="dxa"/>
          <w:jc w:val="center"/>
          <w:tblLook w:val="04A0"/>
        </w:tblPrEx>
        <w:trPr>
          <w:cantSplit/>
          <w:jc w:val="center"/>
        </w:trPr>
        <w:tc>
          <w:tcPr>
            <w:tcW w:w="9072" w:type="dxa"/>
            <w:gridSpan w:val="2"/>
            <w:tcBorders>
              <w:left w:val="nil"/>
              <w:bottom w:val="nil"/>
              <w:right w:val="nil"/>
            </w:tcBorders>
          </w:tcPr>
          <w:p w:rsidR="007E2BC7" w:rsidRPr="0040771E" w14:paraId="2693A106" w14:textId="12A4FDB2">
            <w:pPr>
              <w:ind w:left="284" w:hanging="284"/>
              <w:rPr>
                <w:sz w:val="18"/>
                <w:szCs w:val="18"/>
              </w:rPr>
            </w:pPr>
            <w:r w:rsidRPr="0040771E">
              <w:rPr>
                <w:vertAlign w:val="superscript"/>
              </w:rPr>
              <w:t>1</w:t>
            </w:r>
            <w:r w:rsidRPr="0040771E">
              <w:tab/>
            </w:r>
            <w:r w:rsidRPr="0040771E">
              <w:rPr>
                <w:sz w:val="18"/>
                <w:szCs w:val="18"/>
              </w:rPr>
              <w:t>Primary efficacy endpoint (International Myeloma Working Group criteria)</w:t>
            </w:r>
            <w:r w:rsidR="00447015">
              <w:rPr>
                <w:sz w:val="18"/>
                <w:szCs w:val="18"/>
              </w:rPr>
              <w:t>.</w:t>
            </w:r>
          </w:p>
          <w:p w:rsidR="007E2BC7" w:rsidRPr="0040771E" w14:paraId="08951D1A" w14:textId="382E160F">
            <w:pPr>
              <w:rPr>
                <w:szCs w:val="22"/>
              </w:rPr>
            </w:pPr>
            <w:r w:rsidRPr="0040771E">
              <w:rPr>
                <w:sz w:val="18"/>
                <w:szCs w:val="18"/>
              </w:rPr>
              <w:t>CI=confidence interval; NE=not estimable; MR=minimal response</w:t>
            </w:r>
            <w:r w:rsidR="00447015">
              <w:rPr>
                <w:sz w:val="18"/>
                <w:szCs w:val="18"/>
              </w:rPr>
              <w:t>.</w:t>
            </w:r>
          </w:p>
        </w:tc>
      </w:tr>
    </w:tbl>
    <w:p w:rsidR="007E2BC7" w:rsidRPr="0040771E" w14:paraId="5F9CF160" w14:textId="77777777"/>
    <w:p w:rsidR="007E2BC7" w:rsidRPr="0040771E" w14:paraId="22E4DE52" w14:textId="77777777">
      <w:pPr>
        <w:rPr>
          <w:bCs/>
          <w:iCs/>
          <w:szCs w:val="22"/>
        </w:rPr>
      </w:pPr>
      <w:r w:rsidRPr="0040771E">
        <w:rPr>
          <w:bCs/>
          <w:iCs/>
          <w:szCs w:val="22"/>
        </w:rPr>
        <w:t>Overall response rate (ORR) in MMY2002 was similar regardless of type of prior anti</w:t>
      </w:r>
      <w:r w:rsidRPr="0040771E">
        <w:rPr>
          <w:bCs/>
          <w:iCs/>
          <w:szCs w:val="22"/>
        </w:rPr>
        <w:noBreakHyphen/>
        <w:t>myeloma therapy.</w:t>
      </w:r>
    </w:p>
    <w:p w:rsidR="007E2BC7" w:rsidRPr="0040771E" w14:paraId="4131BF97" w14:textId="77777777">
      <w:pPr>
        <w:rPr>
          <w:bCs/>
          <w:iCs/>
          <w:szCs w:val="22"/>
        </w:rPr>
      </w:pPr>
      <w:r w:rsidRPr="0040771E">
        <w:rPr>
          <w:bCs/>
          <w:iCs/>
          <w:szCs w:val="22"/>
        </w:rPr>
        <w:t>At a survival update with a median duration of follow</w:t>
      </w:r>
      <w:r w:rsidRPr="0040771E">
        <w:rPr>
          <w:bCs/>
          <w:iCs/>
          <w:szCs w:val="22"/>
        </w:rPr>
        <w:noBreakHyphen/>
        <w:t>up of 14.7 months, median OS was 17.5 months (95% CI: 13.7, not estimable).</w:t>
      </w:r>
    </w:p>
    <w:p w:rsidR="007E2BC7" w:rsidRPr="0040771E" w14:paraId="2C8FC87E" w14:textId="77777777">
      <w:pPr>
        <w:rPr>
          <w:bCs/>
          <w:iCs/>
          <w:szCs w:val="22"/>
        </w:rPr>
      </w:pPr>
    </w:p>
    <w:p w:rsidR="007E2BC7" w:rsidRPr="0040771E" w14:paraId="230B4BF0" w14:textId="545CABF2">
      <w:pPr>
        <w:rPr>
          <w:bCs/>
          <w:iCs/>
          <w:szCs w:val="22"/>
        </w:rPr>
      </w:pPr>
      <w:r w:rsidRPr="0040771E">
        <w:rPr>
          <w:bCs/>
          <w:iCs/>
          <w:szCs w:val="22"/>
        </w:rPr>
        <w:t xml:space="preserve">In study GEN501, 42 patients with relapsed and refractory multiple myeloma received 16 mg/kg </w:t>
      </w:r>
      <w:r w:rsidR="00E65908">
        <w:rPr>
          <w:bCs/>
          <w:iCs/>
          <w:szCs w:val="22"/>
        </w:rPr>
        <w:t>DARZALEX</w:t>
      </w:r>
      <w:r w:rsidRPr="0040771E">
        <w:rPr>
          <w:bCs/>
          <w:iCs/>
          <w:szCs w:val="22"/>
        </w:rPr>
        <w:t xml:space="preserve"> until disease progression. The median patient age was 64 years (range, 44 to 76 years), 64% were male and 76% were Caucasian. Patients in the study had received a median of 4 prior lines of therapy. Seventy</w:t>
      </w:r>
      <w:r w:rsidRPr="0040771E">
        <w:rPr>
          <w:bCs/>
          <w:iCs/>
          <w:szCs w:val="22"/>
        </w:rPr>
        <w:noBreakHyphen/>
        <w:t>four percent of patients had received prior ASCT. Prior therapies included bortezomib (100%), lenalidomide (95%), pomalidomide (36%) and carfilzomib (19%). At baseline, 76% of patients were refractory to the last line of treatment, 64% were refractory to both a PI and IMiD, 60% were refractory to alkylating agents, 36% were refractory to pomalidomide and 17% were refractory to carfilzomib.</w:t>
      </w:r>
    </w:p>
    <w:p w:rsidR="007E2BC7" w:rsidRPr="0040771E" w14:paraId="036CF894" w14:textId="77777777">
      <w:pPr>
        <w:rPr>
          <w:szCs w:val="22"/>
        </w:rPr>
      </w:pPr>
    </w:p>
    <w:p w:rsidR="007E2BC7" w:rsidRPr="0040771E" w14:paraId="0688F6B3" w14:textId="77777777">
      <w:pPr>
        <w:rPr>
          <w:bCs/>
          <w:iCs/>
          <w:szCs w:val="22"/>
        </w:rPr>
      </w:pPr>
      <w:r w:rsidRPr="0040771E">
        <w:rPr>
          <w:szCs w:val="22"/>
        </w:rPr>
        <w:t>Pre</w:t>
      </w:r>
      <w:r w:rsidRPr="0040771E">
        <w:rPr>
          <w:szCs w:val="22"/>
        </w:rPr>
        <w:noBreakHyphen/>
        <w:t>planned interim analysis showed that treatment with daratumumab at 16 mg/kg led to a 36% ORR with 5% CR and 5% VGPR. The median time to response was 1 (range: 0.5 to 3.2) month. The median duration of response was not reached (95% CI: 5.6 months, not estimable).</w:t>
      </w:r>
    </w:p>
    <w:p w:rsidR="007E2BC7" w:rsidRPr="0040771E" w14:paraId="4F6CD597" w14:textId="77777777">
      <w:pPr>
        <w:rPr>
          <w:bCs/>
          <w:iCs/>
          <w:szCs w:val="22"/>
        </w:rPr>
      </w:pPr>
    </w:p>
    <w:p w:rsidR="007E2BC7" w:rsidRPr="0040771E" w14:paraId="1D4AF446" w14:textId="77777777">
      <w:pPr>
        <w:rPr>
          <w:bCs/>
          <w:iCs/>
          <w:szCs w:val="22"/>
        </w:rPr>
      </w:pPr>
      <w:r w:rsidRPr="0040771E">
        <w:rPr>
          <w:bCs/>
          <w:iCs/>
          <w:szCs w:val="22"/>
        </w:rPr>
        <w:t>At a survival update with a median duration of follow</w:t>
      </w:r>
      <w:r w:rsidRPr="0040771E">
        <w:rPr>
          <w:bCs/>
          <w:iCs/>
          <w:szCs w:val="22"/>
        </w:rPr>
        <w:noBreakHyphen/>
        <w:t>up of 15.2 months, median OS was not reached (95% CI: 19.9 months, not estimable), with 74% of subjects still alive.</w:t>
      </w:r>
    </w:p>
    <w:p w:rsidR="007E2BC7" w:rsidRPr="0040771E" w14:paraId="5F89E2EA" w14:textId="77777777">
      <w:pPr>
        <w:rPr>
          <w:szCs w:val="22"/>
        </w:rPr>
      </w:pPr>
    </w:p>
    <w:p w:rsidR="007E2BC7" w:rsidRPr="0040771E" w14:paraId="47D321C5" w14:textId="77777777">
      <w:pPr>
        <w:rPr>
          <w:i/>
          <w:iCs/>
        </w:rPr>
      </w:pPr>
      <w:r w:rsidRPr="0040771E">
        <w:rPr>
          <w:i/>
          <w:iCs/>
        </w:rPr>
        <w:t>Combination treatment with lenalidomide</w:t>
      </w:r>
    </w:p>
    <w:p w:rsidR="007E2BC7" w:rsidRPr="0040771E" w14:paraId="09C35896" w14:textId="032C6FDC">
      <w:pPr>
        <w:rPr>
          <w:bCs/>
          <w:iCs/>
          <w:szCs w:val="22"/>
        </w:rPr>
      </w:pPr>
      <w:r w:rsidRPr="0040771E">
        <w:rPr>
          <w:bCs/>
          <w:iCs/>
          <w:szCs w:val="22"/>
        </w:rPr>
        <w:t xml:space="preserve">Study MMY3003, an open-label, randomised, active-controlled phase III study, compared treatment with </w:t>
      </w:r>
      <w:r w:rsidR="00E65908">
        <w:rPr>
          <w:bCs/>
          <w:iCs/>
          <w:szCs w:val="22"/>
        </w:rPr>
        <w:t>DARZALEX</w:t>
      </w:r>
      <w:r w:rsidRPr="0040771E">
        <w:rPr>
          <w:bCs/>
          <w:iCs/>
          <w:szCs w:val="22"/>
        </w:rPr>
        <w:t xml:space="preserve"> 16 mg/kg in combination with lenalidomide and low-dose dexamethasone (DRd) to treatment with lenalidomide and low-dose dexamethasone (Rd) in patients with </w:t>
      </w:r>
      <w:r w:rsidRPr="0040771E">
        <w:t xml:space="preserve">relapsed or refractory </w:t>
      </w:r>
      <w:r w:rsidRPr="0040771E">
        <w:rPr>
          <w:bCs/>
          <w:iCs/>
          <w:szCs w:val="22"/>
        </w:rPr>
        <w:t xml:space="preserve">multiple myeloma who had received at least one prior therapy. Lenalidomide (25 mg once daily orally on days 1-21 of repeated 28-day [4-week] cycles) </w:t>
      </w:r>
      <w:r w:rsidRPr="0040771E">
        <w:t>was given with low dose dexamethasone at 40 mg/week (or a reduced dose of 20 mg/week for patients &gt;75 years or BMI &lt; 18.5</w:t>
      </w:r>
      <w:r w:rsidRPr="0040771E">
        <w:rPr>
          <w:bCs/>
        </w:rPr>
        <w:t>).</w:t>
      </w:r>
      <w:r w:rsidRPr="0040771E">
        <w:t xml:space="preserve"> On </w:t>
      </w:r>
      <w:r w:rsidR="00E65908">
        <w:t>DARZALEX</w:t>
      </w:r>
      <w:r w:rsidRPr="0040771E">
        <w:t xml:space="preserve"> infusion days, 20 mg of the dexamethasone dose was given as a pre-infusion </w:t>
      </w:r>
      <w:r w:rsidRPr="0040771E">
        <w:rPr>
          <w:bCs/>
          <w:iCs/>
          <w:szCs w:val="22"/>
        </w:rPr>
        <w:t>medicinal product</w:t>
      </w:r>
      <w:r w:rsidRPr="0040771E">
        <w:t xml:space="preserve"> and the remainder given the day after the infusion. </w:t>
      </w:r>
      <w:r w:rsidRPr="0040771E">
        <w:rPr>
          <w:bCs/>
          <w:iCs/>
        </w:rPr>
        <w:t>Treatment was continued in both arms until disease progression or unacceptable toxicity.</w:t>
      </w:r>
    </w:p>
    <w:p w:rsidR="007E2BC7" w:rsidRPr="0040771E" w14:paraId="262A3A0D" w14:textId="77777777"/>
    <w:p w:rsidR="007E2BC7" w:rsidRPr="0040771E" w14:paraId="3D01CA1B" w14:textId="5ACBF21C">
      <w:pPr>
        <w:rPr>
          <w:bCs/>
          <w:iCs/>
          <w:szCs w:val="22"/>
        </w:rPr>
      </w:pPr>
      <w:r w:rsidRPr="0040771E">
        <w:rPr>
          <w:bCs/>
          <w:iCs/>
          <w:szCs w:val="22"/>
        </w:rPr>
        <w:t xml:space="preserve">A total of 569 patients were randomised; 286 to the DRd arm and 283 to the Rd arm. The baseline demographic and disease characteristics were similar between the </w:t>
      </w:r>
      <w:r w:rsidR="00E65908">
        <w:rPr>
          <w:bCs/>
          <w:iCs/>
          <w:szCs w:val="22"/>
        </w:rPr>
        <w:t>DARZALEX</w:t>
      </w:r>
      <w:r w:rsidRPr="0040771E">
        <w:rPr>
          <w:bCs/>
          <w:iCs/>
          <w:szCs w:val="22"/>
        </w:rPr>
        <w:t xml:space="preserve"> and the control arm. The median patient age was 65 years (range 34 to 89 years) and 11% were ≥75 years. The majority of patients (86%) received a prior PI, 55% of patients had received a prior IMiD, including 18% of patients who had received prior lenalidomide; and 44% of patients had received both a prior PI and IMiD. At baseline, 27% of patients were refractory to the last line of treatment. Eighteen percent (18%) of patients were refractory to a PI only, and 21% were refractory to bortezomib. Patients refractory to lenalidomide were excluded from the study.</w:t>
      </w:r>
    </w:p>
    <w:p w:rsidR="007E2BC7" w:rsidRPr="0040771E" w14:paraId="08B34F4B" w14:textId="77777777">
      <w:pPr>
        <w:rPr>
          <w:bCs/>
          <w:iCs/>
          <w:szCs w:val="22"/>
        </w:rPr>
      </w:pPr>
    </w:p>
    <w:p w:rsidR="007E2BC7" w:rsidRPr="0040771E" w14:paraId="61F5AFC9" w14:textId="5AFA4301">
      <w:pPr>
        <w:rPr>
          <w:bCs/>
          <w:iCs/>
          <w:szCs w:val="22"/>
        </w:rPr>
      </w:pPr>
      <w:r w:rsidRPr="0040771E">
        <w:t>With a median follow</w:t>
      </w:r>
      <w:r w:rsidRPr="0040771E">
        <w:noBreakHyphen/>
        <w:t xml:space="preserve">up of 13.5 months, the primary analysis of PFS in </w:t>
      </w:r>
      <w:r w:rsidRPr="0040771E">
        <w:rPr>
          <w:bCs/>
          <w:iCs/>
          <w:szCs w:val="22"/>
        </w:rPr>
        <w:t>study MMY3003 demonstrated an improvement in the DRd arm as compared to the Rd arm; the median PFS had not been reached in the DRd arm and was 18.4 months in the Rd arm (HR=0.37; 95% CI: 0.27, 0.52; p &lt; 0.0001).</w:t>
      </w:r>
      <w:r w:rsidRPr="0040771E">
        <w:t xml:space="preserve"> Results of an updated PFS analysis after a median follow</w:t>
      </w:r>
      <w:r w:rsidRPr="0040771E">
        <w:noBreakHyphen/>
        <w:t xml:space="preserve">up of 55 months continued to show an improvement in PFS for patients in the DRd arm compared with the Rd arm. Median PFS was </w:t>
      </w:r>
      <w:r w:rsidRPr="0040771E">
        <w:rPr>
          <w:bCs/>
          <w:szCs w:val="24"/>
        </w:rPr>
        <w:t xml:space="preserve">45.0 months </w:t>
      </w:r>
      <w:r w:rsidRPr="0040771E">
        <w:t xml:space="preserve">in the DRd arm and 17.5 months in the Rd arm (HR=0.44; 95% CI: 0.35, 0.54; p </w:t>
      </w:r>
      <w:r w:rsidR="007A2759">
        <w:tab/>
      </w:r>
      <w:r w:rsidRPr="0040771E" w:rsidR="007A2759">
        <w:t xml:space="preserve"> </w:t>
      </w:r>
      <w:r w:rsidRPr="0040771E">
        <w:t>0.0001), representing a 56% reduction in the risk of disease progression or death in patients treated with DRd</w:t>
      </w:r>
      <w:r w:rsidRPr="0040771E">
        <w:rPr>
          <w:bCs/>
          <w:iCs/>
          <w:szCs w:val="22"/>
        </w:rPr>
        <w:t xml:space="preserve"> (see figure 6).</w:t>
      </w:r>
    </w:p>
    <w:p w:rsidR="007E2BC7" w:rsidRPr="0040771E" w14:paraId="29658D0F" w14:textId="77777777">
      <w:pPr>
        <w:rPr>
          <w:bCs/>
          <w:iCs/>
          <w:szCs w:val="22"/>
        </w:rPr>
      </w:pPr>
    </w:p>
    <w:p w:rsidR="007E2BC7" w:rsidRPr="0040771E" w14:paraId="37E14686" w14:textId="77777777">
      <w:pPr>
        <w:keepNext/>
        <w:tabs>
          <w:tab w:val="clear" w:pos="567"/>
          <w:tab w:val="left" w:pos="1152"/>
        </w:tabs>
        <w:ind w:left="1134" w:hanging="1134"/>
        <w:rPr>
          <w:b/>
          <w:sz w:val="20"/>
        </w:rPr>
      </w:pPr>
      <w:r w:rsidRPr="0040771E">
        <w:rPr>
          <w:b/>
          <w:sz w:val="20"/>
        </w:rPr>
        <w:t>Figure 6:</w:t>
      </w:r>
      <w:r w:rsidRPr="0040771E">
        <w:rPr>
          <w:b/>
          <w:sz w:val="20"/>
        </w:rPr>
        <w:tab/>
        <w:t>Kaplan-Meier curve of PFS in study MMY3003</w:t>
      </w:r>
    </w:p>
    <w:p w:rsidR="007E2BC7" w:rsidRPr="0040771E" w14:paraId="585B66DC" w14:textId="77777777">
      <w:pPr>
        <w:keepNext/>
      </w:pPr>
    </w:p>
    <w:p w:rsidR="007E2BC7" w:rsidRPr="0040771E" w14:paraId="4585DA24" w14:textId="77777777">
      <w:pPr>
        <w:rPr>
          <w:szCs w:val="22"/>
        </w:rPr>
      </w:pPr>
      <w:r>
        <w:rPr>
          <w:szCs w:val="22"/>
        </w:rPr>
        <w:pict>
          <v:shape id="_x0000_i1027" type="#_x0000_t75" style="width:374.25pt;height:351.75pt">
            <v:imagedata r:id="rId18" o:title="Fig 4 MMY3003 pfs png"/>
          </v:shape>
        </w:pict>
      </w:r>
    </w:p>
    <w:p w:rsidR="007E2BC7" w:rsidRPr="0040771E" w14:paraId="3B0E7736" w14:textId="77777777">
      <w:pPr>
        <w:rPr>
          <w:bCs/>
          <w:iCs/>
          <w:szCs w:val="22"/>
        </w:rPr>
      </w:pPr>
    </w:p>
    <w:p w:rsidR="007E2BC7" w:rsidRPr="0040771E" w14:paraId="35002E2E" w14:textId="77777777"/>
    <w:p w:rsidR="007E2BC7" w:rsidRPr="0040771E" w14:paraId="62F87333" w14:textId="77777777"/>
    <w:p w:rsidR="007E2BC7" w:rsidRPr="0040771E" w14:paraId="70685938" w14:textId="65410D2E">
      <w:pPr>
        <w:rPr>
          <w:color w:val="000000"/>
        </w:rPr>
      </w:pPr>
      <w:r w:rsidRPr="0040771E">
        <w:rPr>
          <w:color w:val="000000"/>
        </w:rPr>
        <w:t>After a median follow-up of 80 months, DRd has shown an OS advantage over the Rd arm (HR=0.73; 95% CI: 0.58, 0.91; p=0.0044)</w:t>
      </w:r>
      <w:r w:rsidR="00447015">
        <w:rPr>
          <w:color w:val="000000"/>
        </w:rPr>
        <w:t>.</w:t>
      </w:r>
      <w:r w:rsidRPr="0040771E">
        <w:rPr>
          <w:color w:val="000000"/>
        </w:rPr>
        <w:t xml:space="preserve"> The median OS was 67.6 months in the DRd arm and 51.8 months in the Rd arm.</w:t>
      </w:r>
    </w:p>
    <w:p w:rsidR="007E2BC7" w:rsidRPr="0040771E" w14:paraId="6E33B68C" w14:textId="77777777"/>
    <w:p w:rsidR="007E2BC7" w:rsidRPr="0040771E" w14:paraId="50EF06C7" w14:textId="77777777">
      <w:pPr>
        <w:keepNext/>
        <w:tabs>
          <w:tab w:val="clear" w:pos="567"/>
          <w:tab w:val="left" w:pos="1152"/>
        </w:tabs>
        <w:ind w:left="1134" w:hanging="1134"/>
        <w:rPr>
          <w:b/>
          <w:bCs/>
          <w:color w:val="000000"/>
        </w:rPr>
      </w:pPr>
      <w:r w:rsidRPr="0040771E">
        <w:rPr>
          <w:b/>
          <w:bCs/>
          <w:color w:val="000000"/>
        </w:rPr>
        <w:t>Figure 7:</w:t>
      </w:r>
      <w:r w:rsidRPr="0040771E">
        <w:rPr>
          <w:b/>
          <w:bCs/>
          <w:color w:val="000000"/>
        </w:rPr>
        <w:tab/>
        <w:t>Kaplan-Meier curve of OS in study MMY3003</w:t>
      </w:r>
    </w:p>
    <w:p w:rsidR="007E2BC7" w:rsidRPr="0040771E" w14:paraId="7CE3EC1D" w14:textId="77777777">
      <w:pPr>
        <w:keepNext/>
        <w:rPr>
          <w:color w:val="000000"/>
          <w:szCs w:val="22"/>
        </w:rPr>
      </w:pPr>
    </w:p>
    <w:p w:rsidR="007E2BC7" w:rsidRPr="0040771E" w14:paraId="4EE5FCFC" w14:textId="77777777">
      <w:pPr>
        <w:rPr>
          <w:color w:val="000000"/>
        </w:rPr>
      </w:pPr>
      <w:r w:rsidRPr="0040771E">
        <w:rPr>
          <w:color w:val="000000"/>
        </w:rPr>
        <w:drawing>
          <wp:inline distT="0" distB="0" distL="0" distR="0">
            <wp:extent cx="5391150" cy="37052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634515" name="Picture 6"/>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391150" cy="3705225"/>
                    </a:xfrm>
                    <a:prstGeom prst="rect">
                      <a:avLst/>
                    </a:prstGeom>
                    <a:noFill/>
                    <a:ln>
                      <a:noFill/>
                    </a:ln>
                  </pic:spPr>
                </pic:pic>
              </a:graphicData>
            </a:graphic>
          </wp:inline>
        </w:drawing>
      </w:r>
    </w:p>
    <w:p w:rsidR="007E2BC7" w:rsidRPr="0040771E" w14:paraId="6827317A" w14:textId="77777777">
      <w:pPr>
        <w:rPr>
          <w:bCs/>
          <w:iCs/>
          <w:color w:val="000000"/>
          <w:szCs w:val="22"/>
        </w:rPr>
      </w:pPr>
    </w:p>
    <w:p w:rsidR="007E2BC7" w:rsidRPr="0040771E" w14:paraId="42A1FEAB" w14:textId="77777777">
      <w:r w:rsidRPr="0040771E">
        <w:t>Additional efficacy results from study MMY3003 are presented in table </w:t>
      </w:r>
      <w:r w:rsidRPr="0040771E">
        <w:rPr>
          <w:bCs/>
          <w:iCs/>
          <w:szCs w:val="22"/>
        </w:rPr>
        <w:t>11</w:t>
      </w:r>
      <w:r w:rsidRPr="0040771E">
        <w:t xml:space="preserve"> below.</w:t>
      </w:r>
    </w:p>
    <w:p w:rsidR="007E2BC7" w:rsidRPr="0040771E" w14:paraId="5BB3CECB" w14:textId="77777777">
      <w:pPr>
        <w:rPr>
          <w:b/>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73"/>
        <w:gridCol w:w="2213"/>
        <w:gridCol w:w="2586"/>
      </w:tblGrid>
      <w:tr w14:paraId="5BAEC95F" w14:textId="77777777">
        <w:tblPrEx>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9287" w:type="dxa"/>
            <w:gridSpan w:val="3"/>
            <w:tcBorders>
              <w:top w:val="nil"/>
              <w:left w:val="nil"/>
              <w:bottom w:val="single" w:sz="4" w:space="0" w:color="auto"/>
              <w:right w:val="nil"/>
            </w:tcBorders>
          </w:tcPr>
          <w:p w:rsidR="007E2BC7" w:rsidRPr="0040771E" w14:paraId="1C11386F" w14:textId="77777777">
            <w:pPr>
              <w:keepNext/>
              <w:ind w:left="567" w:hanging="567"/>
              <w:rPr>
                <w:b/>
                <w:szCs w:val="22"/>
              </w:rPr>
            </w:pPr>
            <w:r w:rsidRPr="0040771E">
              <w:rPr>
                <w:b/>
                <w:szCs w:val="22"/>
              </w:rPr>
              <w:t>Table 11:</w:t>
            </w:r>
            <w:r w:rsidRPr="0040771E">
              <w:rPr>
                <w:b/>
                <w:szCs w:val="22"/>
              </w:rPr>
              <w:tab/>
            </w:r>
            <w:r w:rsidRPr="0040771E">
              <w:rPr>
                <w:b/>
                <w:iCs/>
                <w:szCs w:val="22"/>
              </w:rPr>
              <w:t>Additional efficacy results from study MMY3003</w:t>
            </w:r>
          </w:p>
        </w:tc>
      </w:tr>
      <w:tr w14:paraId="213345DB" w14:textId="77777777">
        <w:tblPrEx>
          <w:tblW w:w="9072" w:type="dxa"/>
          <w:jc w:val="center"/>
          <w:tblLook w:val="04A0"/>
        </w:tblPrEx>
        <w:trPr>
          <w:cantSplit/>
          <w:jc w:val="center"/>
        </w:trPr>
        <w:tc>
          <w:tcPr>
            <w:tcW w:w="4361" w:type="dxa"/>
            <w:tcBorders>
              <w:bottom w:val="single" w:sz="4" w:space="0" w:color="auto"/>
            </w:tcBorders>
          </w:tcPr>
          <w:p w:rsidR="007E2BC7" w:rsidRPr="0040771E" w14:paraId="5B70338D" w14:textId="77777777">
            <w:pPr>
              <w:keepNext/>
              <w:outlineLvl w:val="0"/>
              <w:rPr>
                <w:b/>
              </w:rPr>
            </w:pPr>
            <w:r w:rsidRPr="0040771E">
              <w:rPr>
                <w:b/>
              </w:rPr>
              <w:t>Response evaluable patient number</w:t>
            </w:r>
          </w:p>
        </w:tc>
        <w:tc>
          <w:tcPr>
            <w:tcW w:w="2268" w:type="dxa"/>
            <w:tcBorders>
              <w:bottom w:val="single" w:sz="4" w:space="0" w:color="auto"/>
            </w:tcBorders>
          </w:tcPr>
          <w:p w:rsidR="007E2BC7" w:rsidRPr="0040771E" w14:paraId="7A769397" w14:textId="77777777">
            <w:pPr>
              <w:keepNext/>
              <w:outlineLvl w:val="0"/>
              <w:rPr>
                <w:b/>
              </w:rPr>
            </w:pPr>
            <w:r w:rsidRPr="0040771E">
              <w:rPr>
                <w:b/>
              </w:rPr>
              <w:t>DRd (n=281)</w:t>
            </w:r>
          </w:p>
        </w:tc>
        <w:tc>
          <w:tcPr>
            <w:tcW w:w="2658" w:type="dxa"/>
            <w:tcBorders>
              <w:bottom w:val="single" w:sz="4" w:space="0" w:color="auto"/>
            </w:tcBorders>
          </w:tcPr>
          <w:p w:rsidR="007E2BC7" w:rsidRPr="0040771E" w14:paraId="32091339" w14:textId="77777777">
            <w:pPr>
              <w:keepNext/>
              <w:outlineLvl w:val="0"/>
              <w:rPr>
                <w:b/>
              </w:rPr>
            </w:pPr>
            <w:r w:rsidRPr="0040771E">
              <w:rPr>
                <w:b/>
              </w:rPr>
              <w:t xml:space="preserve">Rd (n=276) </w:t>
            </w:r>
          </w:p>
        </w:tc>
      </w:tr>
      <w:tr w14:paraId="3E5A5FF4" w14:textId="77777777">
        <w:tblPrEx>
          <w:tblW w:w="9072" w:type="dxa"/>
          <w:jc w:val="center"/>
          <w:tblLook w:val="04A0"/>
        </w:tblPrEx>
        <w:trPr>
          <w:cantSplit/>
          <w:jc w:val="center"/>
        </w:trPr>
        <w:tc>
          <w:tcPr>
            <w:tcW w:w="4361" w:type="dxa"/>
            <w:tcBorders>
              <w:top w:val="single" w:sz="4" w:space="0" w:color="auto"/>
              <w:left w:val="single" w:sz="4" w:space="0" w:color="auto"/>
              <w:bottom w:val="nil"/>
              <w:right w:val="single" w:sz="4" w:space="0" w:color="auto"/>
            </w:tcBorders>
          </w:tcPr>
          <w:p w:rsidR="007E2BC7" w:rsidRPr="00591F9E" w14:paraId="470B955C" w14:textId="77777777">
            <w:pPr>
              <w:keepNext/>
              <w:outlineLvl w:val="0"/>
              <w:rPr>
                <w:szCs w:val="22"/>
                <w:lang w:val="pt-BR"/>
              </w:rPr>
            </w:pPr>
            <w:r w:rsidRPr="00591F9E">
              <w:rPr>
                <w:szCs w:val="22"/>
                <w:lang w:val="pt-BR"/>
              </w:rPr>
              <w:t>Overall response (sCR+CR+VGPR+PR) n(%)</w:t>
            </w:r>
          </w:p>
        </w:tc>
        <w:tc>
          <w:tcPr>
            <w:tcW w:w="2268" w:type="dxa"/>
            <w:tcBorders>
              <w:top w:val="single" w:sz="4" w:space="0" w:color="auto"/>
              <w:left w:val="single" w:sz="4" w:space="0" w:color="auto"/>
              <w:bottom w:val="nil"/>
              <w:right w:val="single" w:sz="4" w:space="0" w:color="auto"/>
            </w:tcBorders>
            <w:vAlign w:val="bottom"/>
          </w:tcPr>
          <w:p w:rsidR="007E2BC7" w:rsidRPr="0040771E" w14:paraId="226DCA1C" w14:textId="77777777">
            <w:pPr>
              <w:keepNext/>
              <w:outlineLvl w:val="0"/>
              <w:rPr>
                <w:szCs w:val="22"/>
              </w:rPr>
            </w:pPr>
            <w:r w:rsidRPr="0040771E">
              <w:rPr>
                <w:szCs w:val="22"/>
              </w:rPr>
              <w:t>261 (92.9)</w:t>
            </w:r>
          </w:p>
        </w:tc>
        <w:tc>
          <w:tcPr>
            <w:tcW w:w="2658" w:type="dxa"/>
            <w:tcBorders>
              <w:top w:val="single" w:sz="4" w:space="0" w:color="auto"/>
              <w:left w:val="single" w:sz="4" w:space="0" w:color="auto"/>
              <w:bottom w:val="nil"/>
              <w:right w:val="single" w:sz="4" w:space="0" w:color="auto"/>
            </w:tcBorders>
            <w:vAlign w:val="bottom"/>
          </w:tcPr>
          <w:p w:rsidR="007E2BC7" w:rsidRPr="0040771E" w14:paraId="68EF45EC" w14:textId="77777777">
            <w:pPr>
              <w:keepNext/>
              <w:outlineLvl w:val="0"/>
              <w:rPr>
                <w:szCs w:val="22"/>
              </w:rPr>
            </w:pPr>
            <w:r w:rsidRPr="0040771E">
              <w:rPr>
                <w:szCs w:val="22"/>
              </w:rPr>
              <w:t>211 (76.4)</w:t>
            </w:r>
          </w:p>
        </w:tc>
      </w:tr>
      <w:tr w14:paraId="13232ED7" w14:textId="77777777">
        <w:tblPrEx>
          <w:tblW w:w="9072" w:type="dxa"/>
          <w:jc w:val="center"/>
          <w:tblLook w:val="04A0"/>
        </w:tblPrEx>
        <w:trPr>
          <w:cantSplit/>
          <w:jc w:val="center"/>
        </w:trPr>
        <w:tc>
          <w:tcPr>
            <w:tcW w:w="4361" w:type="dxa"/>
            <w:tcBorders>
              <w:top w:val="nil"/>
              <w:left w:val="single" w:sz="4" w:space="0" w:color="auto"/>
              <w:bottom w:val="nil"/>
              <w:right w:val="single" w:sz="4" w:space="0" w:color="auto"/>
            </w:tcBorders>
          </w:tcPr>
          <w:p w:rsidR="007E2BC7" w:rsidRPr="0040771E" w14:paraId="2C1FD8BA" w14:textId="77777777">
            <w:pPr>
              <w:keepNext/>
              <w:ind w:left="567"/>
              <w:outlineLvl w:val="0"/>
            </w:pPr>
            <w:r w:rsidRPr="0040771E">
              <w:rPr>
                <w:szCs w:val="22"/>
              </w:rPr>
              <w:t>p-value</w:t>
            </w:r>
            <w:r w:rsidRPr="0040771E">
              <w:rPr>
                <w:szCs w:val="22"/>
                <w:vertAlign w:val="superscript"/>
              </w:rPr>
              <w:t>a</w:t>
            </w:r>
          </w:p>
        </w:tc>
        <w:tc>
          <w:tcPr>
            <w:tcW w:w="2268" w:type="dxa"/>
            <w:tcBorders>
              <w:top w:val="nil"/>
              <w:left w:val="single" w:sz="4" w:space="0" w:color="auto"/>
              <w:bottom w:val="nil"/>
              <w:right w:val="single" w:sz="4" w:space="0" w:color="auto"/>
            </w:tcBorders>
            <w:vAlign w:val="bottom"/>
          </w:tcPr>
          <w:p w:rsidR="007E2BC7" w:rsidRPr="0040771E" w14:paraId="5CCA1D2D" w14:textId="77777777">
            <w:pPr>
              <w:keepNext/>
              <w:outlineLvl w:val="0"/>
              <w:rPr>
                <w:szCs w:val="22"/>
              </w:rPr>
            </w:pPr>
            <w:r w:rsidRPr="0040771E">
              <w:rPr>
                <w:szCs w:val="22"/>
              </w:rPr>
              <w:t>&lt;0.0001</w:t>
            </w:r>
          </w:p>
        </w:tc>
        <w:tc>
          <w:tcPr>
            <w:tcW w:w="2658" w:type="dxa"/>
            <w:tcBorders>
              <w:top w:val="nil"/>
              <w:left w:val="single" w:sz="4" w:space="0" w:color="auto"/>
              <w:bottom w:val="nil"/>
              <w:right w:val="single" w:sz="4" w:space="0" w:color="auto"/>
            </w:tcBorders>
            <w:vAlign w:val="bottom"/>
          </w:tcPr>
          <w:p w:rsidR="007E2BC7" w:rsidRPr="0040771E" w14:paraId="50CE3DBC" w14:textId="77777777">
            <w:pPr>
              <w:keepNext/>
              <w:outlineLvl w:val="0"/>
              <w:rPr>
                <w:szCs w:val="22"/>
              </w:rPr>
            </w:pPr>
          </w:p>
        </w:tc>
      </w:tr>
      <w:tr w14:paraId="0B6181CD" w14:textId="77777777">
        <w:tblPrEx>
          <w:tblW w:w="9072" w:type="dxa"/>
          <w:jc w:val="center"/>
          <w:tblLook w:val="04A0"/>
        </w:tblPrEx>
        <w:trPr>
          <w:cantSplit/>
          <w:jc w:val="center"/>
        </w:trPr>
        <w:tc>
          <w:tcPr>
            <w:tcW w:w="4361" w:type="dxa"/>
            <w:tcBorders>
              <w:top w:val="nil"/>
              <w:left w:val="single" w:sz="4" w:space="0" w:color="auto"/>
              <w:bottom w:val="nil"/>
              <w:right w:val="single" w:sz="4" w:space="0" w:color="auto"/>
            </w:tcBorders>
          </w:tcPr>
          <w:p w:rsidR="007E2BC7" w:rsidRPr="0040771E" w14:paraId="47C8A3E7" w14:textId="77777777">
            <w:pPr>
              <w:keepNext/>
              <w:ind w:left="567"/>
              <w:outlineLvl w:val="0"/>
              <w:rPr>
                <w:szCs w:val="22"/>
              </w:rPr>
            </w:pPr>
            <w:r w:rsidRPr="0040771E">
              <w:rPr>
                <w:szCs w:val="22"/>
              </w:rPr>
              <w:t xml:space="preserve">Stringent complete response (sCR) </w:t>
            </w:r>
          </w:p>
        </w:tc>
        <w:tc>
          <w:tcPr>
            <w:tcW w:w="2268" w:type="dxa"/>
            <w:tcBorders>
              <w:top w:val="nil"/>
              <w:left w:val="single" w:sz="4" w:space="0" w:color="auto"/>
              <w:bottom w:val="nil"/>
              <w:right w:val="single" w:sz="4" w:space="0" w:color="auto"/>
            </w:tcBorders>
            <w:vAlign w:val="bottom"/>
          </w:tcPr>
          <w:p w:rsidR="007E2BC7" w:rsidRPr="0040771E" w14:paraId="7744BECA" w14:textId="77777777">
            <w:pPr>
              <w:keepNext/>
              <w:outlineLvl w:val="0"/>
              <w:rPr>
                <w:szCs w:val="22"/>
              </w:rPr>
            </w:pPr>
            <w:r w:rsidRPr="0040771E">
              <w:t>51 (18.1)</w:t>
            </w:r>
          </w:p>
        </w:tc>
        <w:tc>
          <w:tcPr>
            <w:tcW w:w="2658" w:type="dxa"/>
            <w:tcBorders>
              <w:top w:val="nil"/>
              <w:left w:val="single" w:sz="4" w:space="0" w:color="auto"/>
              <w:bottom w:val="nil"/>
              <w:right w:val="single" w:sz="4" w:space="0" w:color="auto"/>
            </w:tcBorders>
            <w:vAlign w:val="bottom"/>
          </w:tcPr>
          <w:p w:rsidR="007E2BC7" w:rsidRPr="0040771E" w14:paraId="23583E7A" w14:textId="77777777">
            <w:pPr>
              <w:keepNext/>
              <w:outlineLvl w:val="0"/>
              <w:rPr>
                <w:szCs w:val="22"/>
              </w:rPr>
            </w:pPr>
            <w:r w:rsidRPr="0040771E">
              <w:t>20 (7.2)</w:t>
            </w:r>
          </w:p>
        </w:tc>
      </w:tr>
      <w:tr w14:paraId="65A85A3E" w14:textId="77777777">
        <w:tblPrEx>
          <w:tblW w:w="9072" w:type="dxa"/>
          <w:jc w:val="center"/>
          <w:tblLook w:val="04A0"/>
        </w:tblPrEx>
        <w:trPr>
          <w:cantSplit/>
          <w:jc w:val="center"/>
        </w:trPr>
        <w:tc>
          <w:tcPr>
            <w:tcW w:w="4361" w:type="dxa"/>
            <w:tcBorders>
              <w:top w:val="nil"/>
              <w:left w:val="single" w:sz="4" w:space="0" w:color="auto"/>
              <w:bottom w:val="nil"/>
              <w:right w:val="single" w:sz="4" w:space="0" w:color="auto"/>
            </w:tcBorders>
          </w:tcPr>
          <w:p w:rsidR="007E2BC7" w:rsidRPr="0040771E" w14:paraId="36BD40C8" w14:textId="77777777">
            <w:pPr>
              <w:keepNext/>
              <w:ind w:left="567"/>
              <w:outlineLvl w:val="0"/>
              <w:rPr>
                <w:szCs w:val="22"/>
              </w:rPr>
            </w:pPr>
            <w:r w:rsidRPr="0040771E">
              <w:rPr>
                <w:szCs w:val="22"/>
              </w:rPr>
              <w:t>Complete response (CR)</w:t>
            </w:r>
          </w:p>
        </w:tc>
        <w:tc>
          <w:tcPr>
            <w:tcW w:w="2268" w:type="dxa"/>
            <w:tcBorders>
              <w:top w:val="nil"/>
              <w:left w:val="single" w:sz="4" w:space="0" w:color="auto"/>
              <w:bottom w:val="nil"/>
              <w:right w:val="single" w:sz="4" w:space="0" w:color="auto"/>
            </w:tcBorders>
            <w:vAlign w:val="bottom"/>
          </w:tcPr>
          <w:p w:rsidR="007E2BC7" w:rsidRPr="0040771E" w14:paraId="156B120C" w14:textId="77777777">
            <w:pPr>
              <w:keepNext/>
              <w:outlineLvl w:val="0"/>
              <w:rPr>
                <w:szCs w:val="22"/>
              </w:rPr>
            </w:pPr>
            <w:r w:rsidRPr="0040771E">
              <w:t>70 (24.9)</w:t>
            </w:r>
          </w:p>
        </w:tc>
        <w:tc>
          <w:tcPr>
            <w:tcW w:w="2658" w:type="dxa"/>
            <w:tcBorders>
              <w:top w:val="nil"/>
              <w:left w:val="single" w:sz="4" w:space="0" w:color="auto"/>
              <w:bottom w:val="nil"/>
              <w:right w:val="single" w:sz="4" w:space="0" w:color="auto"/>
            </w:tcBorders>
            <w:vAlign w:val="bottom"/>
          </w:tcPr>
          <w:p w:rsidR="007E2BC7" w:rsidRPr="0040771E" w14:paraId="47A02496" w14:textId="77777777">
            <w:pPr>
              <w:keepNext/>
              <w:outlineLvl w:val="0"/>
              <w:rPr>
                <w:szCs w:val="22"/>
              </w:rPr>
            </w:pPr>
            <w:r w:rsidRPr="0040771E">
              <w:t>33 (12.0)</w:t>
            </w:r>
          </w:p>
        </w:tc>
      </w:tr>
      <w:tr w14:paraId="2FCD85B9" w14:textId="77777777">
        <w:tblPrEx>
          <w:tblW w:w="9072" w:type="dxa"/>
          <w:jc w:val="center"/>
          <w:tblLook w:val="04A0"/>
        </w:tblPrEx>
        <w:trPr>
          <w:cantSplit/>
          <w:jc w:val="center"/>
        </w:trPr>
        <w:tc>
          <w:tcPr>
            <w:tcW w:w="4361" w:type="dxa"/>
            <w:tcBorders>
              <w:top w:val="nil"/>
              <w:left w:val="single" w:sz="4" w:space="0" w:color="auto"/>
              <w:bottom w:val="nil"/>
              <w:right w:val="single" w:sz="4" w:space="0" w:color="auto"/>
            </w:tcBorders>
          </w:tcPr>
          <w:p w:rsidR="007E2BC7" w:rsidRPr="0040771E" w14:paraId="069AEEDE" w14:textId="77777777">
            <w:pPr>
              <w:keepNext/>
              <w:ind w:left="567"/>
              <w:outlineLvl w:val="0"/>
              <w:rPr>
                <w:szCs w:val="22"/>
              </w:rPr>
            </w:pPr>
            <w:r w:rsidRPr="0040771E">
              <w:rPr>
                <w:szCs w:val="22"/>
              </w:rPr>
              <w:t>Very good partial response (VGPR)</w:t>
            </w:r>
          </w:p>
        </w:tc>
        <w:tc>
          <w:tcPr>
            <w:tcW w:w="2268" w:type="dxa"/>
            <w:tcBorders>
              <w:top w:val="nil"/>
              <w:left w:val="single" w:sz="4" w:space="0" w:color="auto"/>
              <w:bottom w:val="nil"/>
              <w:right w:val="single" w:sz="4" w:space="0" w:color="auto"/>
            </w:tcBorders>
            <w:vAlign w:val="bottom"/>
          </w:tcPr>
          <w:p w:rsidR="007E2BC7" w:rsidRPr="0040771E" w14:paraId="00CA752C" w14:textId="77777777">
            <w:pPr>
              <w:keepNext/>
              <w:outlineLvl w:val="0"/>
              <w:rPr>
                <w:szCs w:val="22"/>
              </w:rPr>
            </w:pPr>
            <w:r w:rsidRPr="0040771E">
              <w:t>92 (32.7)</w:t>
            </w:r>
          </w:p>
        </w:tc>
        <w:tc>
          <w:tcPr>
            <w:tcW w:w="2658" w:type="dxa"/>
            <w:tcBorders>
              <w:top w:val="nil"/>
              <w:left w:val="single" w:sz="4" w:space="0" w:color="auto"/>
              <w:bottom w:val="nil"/>
              <w:right w:val="single" w:sz="4" w:space="0" w:color="auto"/>
            </w:tcBorders>
            <w:vAlign w:val="bottom"/>
          </w:tcPr>
          <w:p w:rsidR="007E2BC7" w:rsidRPr="0040771E" w14:paraId="71FDC723" w14:textId="77777777">
            <w:pPr>
              <w:keepNext/>
              <w:outlineLvl w:val="0"/>
              <w:rPr>
                <w:szCs w:val="22"/>
              </w:rPr>
            </w:pPr>
            <w:r w:rsidRPr="0040771E">
              <w:t>69 (25.0)</w:t>
            </w:r>
          </w:p>
        </w:tc>
      </w:tr>
      <w:tr w14:paraId="2084E765" w14:textId="77777777">
        <w:tblPrEx>
          <w:tblW w:w="9072" w:type="dxa"/>
          <w:jc w:val="center"/>
          <w:tblLook w:val="04A0"/>
        </w:tblPrEx>
        <w:trPr>
          <w:cantSplit/>
          <w:jc w:val="center"/>
        </w:trPr>
        <w:tc>
          <w:tcPr>
            <w:tcW w:w="4361" w:type="dxa"/>
            <w:tcBorders>
              <w:top w:val="nil"/>
              <w:left w:val="single" w:sz="4" w:space="0" w:color="auto"/>
              <w:bottom w:val="single" w:sz="4" w:space="0" w:color="auto"/>
              <w:right w:val="single" w:sz="4" w:space="0" w:color="auto"/>
            </w:tcBorders>
          </w:tcPr>
          <w:p w:rsidR="007E2BC7" w:rsidRPr="0040771E" w14:paraId="7A8FE0E5" w14:textId="77777777">
            <w:pPr>
              <w:keepNext/>
              <w:ind w:left="567"/>
              <w:outlineLvl w:val="0"/>
            </w:pPr>
            <w:r w:rsidRPr="0040771E">
              <w:rPr>
                <w:szCs w:val="22"/>
              </w:rPr>
              <w:t>Partial response (PR)</w:t>
            </w:r>
          </w:p>
        </w:tc>
        <w:tc>
          <w:tcPr>
            <w:tcW w:w="2268" w:type="dxa"/>
            <w:tcBorders>
              <w:top w:val="nil"/>
              <w:left w:val="single" w:sz="4" w:space="0" w:color="auto"/>
              <w:bottom w:val="single" w:sz="4" w:space="0" w:color="auto"/>
              <w:right w:val="single" w:sz="4" w:space="0" w:color="auto"/>
            </w:tcBorders>
            <w:vAlign w:val="bottom"/>
          </w:tcPr>
          <w:p w:rsidR="007E2BC7" w:rsidRPr="0040771E" w14:paraId="7CB3B776" w14:textId="77777777">
            <w:pPr>
              <w:keepNext/>
              <w:outlineLvl w:val="0"/>
            </w:pPr>
            <w:r w:rsidRPr="0040771E">
              <w:t>48 (17.1)</w:t>
            </w:r>
          </w:p>
        </w:tc>
        <w:tc>
          <w:tcPr>
            <w:tcW w:w="2658" w:type="dxa"/>
            <w:tcBorders>
              <w:top w:val="nil"/>
              <w:left w:val="single" w:sz="4" w:space="0" w:color="auto"/>
              <w:bottom w:val="single" w:sz="4" w:space="0" w:color="auto"/>
              <w:right w:val="single" w:sz="4" w:space="0" w:color="auto"/>
            </w:tcBorders>
            <w:vAlign w:val="bottom"/>
          </w:tcPr>
          <w:p w:rsidR="007E2BC7" w:rsidRPr="0040771E" w14:paraId="159216E4" w14:textId="77777777">
            <w:pPr>
              <w:keepNext/>
              <w:outlineLvl w:val="0"/>
            </w:pPr>
            <w:r w:rsidRPr="0040771E">
              <w:t>89 (32.2)</w:t>
            </w:r>
          </w:p>
        </w:tc>
      </w:tr>
      <w:tr w14:paraId="772C0EFC" w14:textId="77777777">
        <w:tblPrEx>
          <w:tblW w:w="9072" w:type="dxa"/>
          <w:jc w:val="center"/>
          <w:tblLook w:val="04A0"/>
        </w:tblPrEx>
        <w:trPr>
          <w:cantSplit/>
          <w:jc w:val="center"/>
        </w:trPr>
        <w:tc>
          <w:tcPr>
            <w:tcW w:w="4361" w:type="dxa"/>
            <w:tcBorders>
              <w:top w:val="nil"/>
              <w:left w:val="single" w:sz="4" w:space="0" w:color="auto"/>
              <w:bottom w:val="single" w:sz="4" w:space="0" w:color="auto"/>
              <w:right w:val="single" w:sz="4" w:space="0" w:color="auto"/>
            </w:tcBorders>
          </w:tcPr>
          <w:p w:rsidR="007E2BC7" w:rsidRPr="0040771E" w14:paraId="25ADDADF" w14:textId="77777777">
            <w:pPr>
              <w:outlineLvl w:val="0"/>
            </w:pPr>
            <w:r w:rsidRPr="0040771E">
              <w:rPr>
                <w:szCs w:val="22"/>
              </w:rPr>
              <w:t xml:space="preserve">Median time to response [months </w:t>
            </w:r>
            <w:r w:rsidRPr="0040771E">
              <w:rPr>
                <w:iCs/>
                <w:szCs w:val="22"/>
              </w:rPr>
              <w:t>(95% CI)]</w:t>
            </w:r>
          </w:p>
        </w:tc>
        <w:tc>
          <w:tcPr>
            <w:tcW w:w="2268" w:type="dxa"/>
            <w:tcBorders>
              <w:top w:val="nil"/>
              <w:left w:val="single" w:sz="4" w:space="0" w:color="auto"/>
              <w:bottom w:val="single" w:sz="4" w:space="0" w:color="auto"/>
              <w:right w:val="single" w:sz="4" w:space="0" w:color="auto"/>
            </w:tcBorders>
          </w:tcPr>
          <w:p w:rsidR="007E2BC7" w:rsidRPr="0040771E" w14:paraId="19B253F0" w14:textId="77777777">
            <w:pPr>
              <w:outlineLvl w:val="0"/>
            </w:pPr>
            <w:r w:rsidRPr="0040771E">
              <w:rPr>
                <w:iCs/>
                <w:szCs w:val="22"/>
              </w:rPr>
              <w:t>1.0 (1.0, 1.1)</w:t>
            </w:r>
          </w:p>
        </w:tc>
        <w:tc>
          <w:tcPr>
            <w:tcW w:w="2658" w:type="dxa"/>
            <w:tcBorders>
              <w:top w:val="nil"/>
              <w:left w:val="single" w:sz="4" w:space="0" w:color="auto"/>
              <w:bottom w:val="single" w:sz="4" w:space="0" w:color="auto"/>
              <w:right w:val="single" w:sz="4" w:space="0" w:color="auto"/>
            </w:tcBorders>
          </w:tcPr>
          <w:p w:rsidR="007E2BC7" w:rsidRPr="0040771E" w14:paraId="694AD721" w14:textId="77777777">
            <w:pPr>
              <w:outlineLvl w:val="0"/>
            </w:pPr>
            <w:r w:rsidRPr="0040771E">
              <w:rPr>
                <w:szCs w:val="22"/>
              </w:rPr>
              <w:t>1.3 (1.1, 1.9)</w:t>
            </w:r>
          </w:p>
        </w:tc>
      </w:tr>
      <w:tr w14:paraId="76DDAF35" w14:textId="77777777">
        <w:tblPrEx>
          <w:tblW w:w="9072" w:type="dxa"/>
          <w:jc w:val="center"/>
          <w:tblLook w:val="04A0"/>
        </w:tblPrEx>
        <w:trPr>
          <w:cantSplit/>
          <w:jc w:val="center"/>
        </w:trPr>
        <w:tc>
          <w:tcPr>
            <w:tcW w:w="4361" w:type="dxa"/>
            <w:tcBorders>
              <w:top w:val="nil"/>
              <w:left w:val="single" w:sz="4" w:space="0" w:color="auto"/>
              <w:bottom w:val="single" w:sz="4" w:space="0" w:color="auto"/>
              <w:right w:val="single" w:sz="4" w:space="0" w:color="auto"/>
            </w:tcBorders>
          </w:tcPr>
          <w:p w:rsidR="007E2BC7" w:rsidRPr="0040771E" w14:paraId="7047DF5E" w14:textId="77777777">
            <w:pPr>
              <w:outlineLvl w:val="0"/>
              <w:rPr>
                <w:szCs w:val="22"/>
              </w:rPr>
            </w:pPr>
            <w:r w:rsidRPr="0040771E">
              <w:rPr>
                <w:szCs w:val="22"/>
              </w:rPr>
              <w:t xml:space="preserve">Median </w:t>
            </w:r>
            <w:r w:rsidRPr="0040771E">
              <w:rPr>
                <w:bCs/>
                <w:iCs/>
                <w:szCs w:val="22"/>
              </w:rPr>
              <w:t>duration of response [months (95% CI)]</w:t>
            </w:r>
          </w:p>
        </w:tc>
        <w:tc>
          <w:tcPr>
            <w:tcW w:w="2268" w:type="dxa"/>
            <w:tcBorders>
              <w:top w:val="nil"/>
              <w:left w:val="single" w:sz="4" w:space="0" w:color="auto"/>
              <w:bottom w:val="single" w:sz="4" w:space="0" w:color="auto"/>
              <w:right w:val="single" w:sz="4" w:space="0" w:color="auto"/>
            </w:tcBorders>
          </w:tcPr>
          <w:p w:rsidR="007E2BC7" w:rsidRPr="0040771E" w14:paraId="105102E0" w14:textId="77777777">
            <w:pPr>
              <w:outlineLvl w:val="0"/>
              <w:rPr>
                <w:iCs/>
                <w:szCs w:val="22"/>
              </w:rPr>
            </w:pPr>
            <w:r w:rsidRPr="0040771E">
              <w:t>NE (NE, NE)</w:t>
            </w:r>
          </w:p>
        </w:tc>
        <w:tc>
          <w:tcPr>
            <w:tcW w:w="2658" w:type="dxa"/>
            <w:tcBorders>
              <w:top w:val="nil"/>
              <w:left w:val="single" w:sz="4" w:space="0" w:color="auto"/>
              <w:bottom w:val="single" w:sz="4" w:space="0" w:color="auto"/>
              <w:right w:val="single" w:sz="4" w:space="0" w:color="auto"/>
            </w:tcBorders>
          </w:tcPr>
          <w:p w:rsidR="007E2BC7" w:rsidRPr="0040771E" w14:paraId="0EE80A3E" w14:textId="77777777">
            <w:pPr>
              <w:outlineLvl w:val="0"/>
              <w:rPr>
                <w:szCs w:val="22"/>
              </w:rPr>
            </w:pPr>
            <w:r w:rsidRPr="0040771E">
              <w:t>17.4 (17.4, NE)</w:t>
            </w:r>
          </w:p>
        </w:tc>
      </w:tr>
      <w:tr w14:paraId="06752080" w14:textId="77777777">
        <w:tblPrEx>
          <w:tblW w:w="9072" w:type="dxa"/>
          <w:jc w:val="center"/>
          <w:tblLook w:val="04A0"/>
        </w:tblPrEx>
        <w:trPr>
          <w:cantSplit/>
          <w:jc w:val="center"/>
        </w:trPr>
        <w:tc>
          <w:tcPr>
            <w:tcW w:w="4361" w:type="dxa"/>
            <w:tcBorders>
              <w:top w:val="single" w:sz="4" w:space="0" w:color="auto"/>
              <w:left w:val="single" w:sz="4" w:space="0" w:color="auto"/>
              <w:bottom w:val="nil"/>
              <w:right w:val="single" w:sz="4" w:space="0" w:color="auto"/>
            </w:tcBorders>
          </w:tcPr>
          <w:p w:rsidR="007E2BC7" w:rsidRPr="0040771E" w14:paraId="3197776B" w14:textId="77777777">
            <w:pPr>
              <w:outlineLvl w:val="0"/>
            </w:pPr>
            <w:r w:rsidRPr="0040771E">
              <w:rPr>
                <w:szCs w:val="22"/>
              </w:rPr>
              <w:t>MRD negative rate (95% CI)</w:t>
            </w:r>
            <w:r w:rsidRPr="0040771E">
              <w:rPr>
                <w:szCs w:val="22"/>
                <w:vertAlign w:val="superscript"/>
              </w:rPr>
              <w:t xml:space="preserve"> b </w:t>
            </w:r>
            <w:r w:rsidRPr="0040771E">
              <w:rPr>
                <w:szCs w:val="22"/>
              </w:rPr>
              <w:t>(%)</w:t>
            </w:r>
          </w:p>
        </w:tc>
        <w:tc>
          <w:tcPr>
            <w:tcW w:w="2268" w:type="dxa"/>
            <w:tcBorders>
              <w:top w:val="single" w:sz="4" w:space="0" w:color="auto"/>
              <w:left w:val="single" w:sz="4" w:space="0" w:color="auto"/>
              <w:bottom w:val="nil"/>
              <w:right w:val="single" w:sz="4" w:space="0" w:color="auto"/>
            </w:tcBorders>
            <w:vAlign w:val="bottom"/>
          </w:tcPr>
          <w:p w:rsidR="007E2BC7" w:rsidRPr="0040771E" w14:paraId="1ACD24C2" w14:textId="77777777">
            <w:pPr>
              <w:outlineLvl w:val="0"/>
            </w:pPr>
            <w:r w:rsidRPr="0040771E">
              <w:rPr>
                <w:szCs w:val="22"/>
              </w:rPr>
              <w:t>21.0 (16.4, 26.2)</w:t>
            </w:r>
          </w:p>
        </w:tc>
        <w:tc>
          <w:tcPr>
            <w:tcW w:w="2658" w:type="dxa"/>
            <w:tcBorders>
              <w:top w:val="single" w:sz="4" w:space="0" w:color="auto"/>
              <w:left w:val="single" w:sz="4" w:space="0" w:color="auto"/>
              <w:bottom w:val="nil"/>
              <w:right w:val="single" w:sz="4" w:space="0" w:color="auto"/>
            </w:tcBorders>
            <w:vAlign w:val="bottom"/>
          </w:tcPr>
          <w:p w:rsidR="007E2BC7" w:rsidRPr="0040771E" w14:paraId="4B07D4A2" w14:textId="77777777">
            <w:pPr>
              <w:outlineLvl w:val="0"/>
            </w:pPr>
            <w:r w:rsidRPr="0040771E">
              <w:rPr>
                <w:szCs w:val="22"/>
              </w:rPr>
              <w:t>2.8 (1.2, 5.5)</w:t>
            </w:r>
          </w:p>
        </w:tc>
      </w:tr>
      <w:tr w14:paraId="1B2B5D8A" w14:textId="77777777">
        <w:tblPrEx>
          <w:tblW w:w="9072" w:type="dxa"/>
          <w:jc w:val="center"/>
          <w:tblLook w:val="04A0"/>
        </w:tblPrEx>
        <w:trPr>
          <w:cantSplit/>
          <w:jc w:val="center"/>
        </w:trPr>
        <w:tc>
          <w:tcPr>
            <w:tcW w:w="4361" w:type="dxa"/>
            <w:tcBorders>
              <w:top w:val="nil"/>
              <w:left w:val="single" w:sz="4" w:space="0" w:color="auto"/>
              <w:bottom w:val="nil"/>
              <w:right w:val="single" w:sz="4" w:space="0" w:color="auto"/>
            </w:tcBorders>
          </w:tcPr>
          <w:p w:rsidR="007E2BC7" w:rsidRPr="0040771E" w14:paraId="566C7337" w14:textId="77777777">
            <w:pPr>
              <w:ind w:left="567"/>
              <w:outlineLvl w:val="0"/>
            </w:pPr>
            <w:r w:rsidRPr="0040771E">
              <w:rPr>
                <w:szCs w:val="22"/>
              </w:rPr>
              <w:t>Odds ratio with 95% CI</w:t>
            </w:r>
            <w:r w:rsidRPr="0040771E">
              <w:rPr>
                <w:szCs w:val="22"/>
                <w:vertAlign w:val="superscript"/>
              </w:rPr>
              <w:t>c</w:t>
            </w:r>
          </w:p>
        </w:tc>
        <w:tc>
          <w:tcPr>
            <w:tcW w:w="2268" w:type="dxa"/>
            <w:tcBorders>
              <w:top w:val="nil"/>
              <w:left w:val="single" w:sz="4" w:space="0" w:color="auto"/>
              <w:bottom w:val="nil"/>
              <w:right w:val="single" w:sz="4" w:space="0" w:color="auto"/>
            </w:tcBorders>
            <w:vAlign w:val="bottom"/>
          </w:tcPr>
          <w:p w:rsidR="007E2BC7" w:rsidRPr="0040771E" w14:paraId="198CDEF9" w14:textId="77777777">
            <w:pPr>
              <w:outlineLvl w:val="0"/>
            </w:pPr>
            <w:r w:rsidRPr="0040771E">
              <w:rPr>
                <w:szCs w:val="22"/>
              </w:rPr>
              <w:t>9.31 (4.31, 20.09)</w:t>
            </w:r>
          </w:p>
        </w:tc>
        <w:tc>
          <w:tcPr>
            <w:tcW w:w="2658" w:type="dxa"/>
            <w:tcBorders>
              <w:top w:val="nil"/>
              <w:left w:val="single" w:sz="4" w:space="0" w:color="auto"/>
              <w:bottom w:val="nil"/>
              <w:right w:val="single" w:sz="4" w:space="0" w:color="auto"/>
            </w:tcBorders>
            <w:vAlign w:val="bottom"/>
          </w:tcPr>
          <w:p w:rsidR="007E2BC7" w:rsidRPr="0040771E" w14:paraId="4C52AFB4" w14:textId="77777777">
            <w:pPr>
              <w:outlineLvl w:val="0"/>
            </w:pPr>
          </w:p>
        </w:tc>
      </w:tr>
      <w:tr w14:paraId="30E2EB10" w14:textId="77777777">
        <w:tblPrEx>
          <w:tblW w:w="9072" w:type="dxa"/>
          <w:jc w:val="center"/>
          <w:tblLook w:val="04A0"/>
        </w:tblPrEx>
        <w:trPr>
          <w:cantSplit/>
          <w:jc w:val="center"/>
        </w:trPr>
        <w:tc>
          <w:tcPr>
            <w:tcW w:w="4361" w:type="dxa"/>
            <w:tcBorders>
              <w:top w:val="nil"/>
              <w:left w:val="single" w:sz="4" w:space="0" w:color="auto"/>
              <w:bottom w:val="single" w:sz="4" w:space="0" w:color="auto"/>
              <w:right w:val="single" w:sz="4" w:space="0" w:color="auto"/>
            </w:tcBorders>
          </w:tcPr>
          <w:p w:rsidR="007E2BC7" w:rsidRPr="0040771E" w14:paraId="69B0461B" w14:textId="77777777">
            <w:pPr>
              <w:ind w:left="567"/>
              <w:outlineLvl w:val="0"/>
            </w:pPr>
            <w:r w:rsidRPr="0040771E">
              <w:rPr>
                <w:szCs w:val="22"/>
              </w:rPr>
              <w:t>P-value</w:t>
            </w:r>
            <w:r w:rsidRPr="0040771E">
              <w:rPr>
                <w:szCs w:val="22"/>
                <w:vertAlign w:val="superscript"/>
              </w:rPr>
              <w:t>d</w:t>
            </w:r>
          </w:p>
        </w:tc>
        <w:tc>
          <w:tcPr>
            <w:tcW w:w="2268" w:type="dxa"/>
            <w:tcBorders>
              <w:top w:val="nil"/>
              <w:left w:val="single" w:sz="4" w:space="0" w:color="auto"/>
              <w:bottom w:val="single" w:sz="4" w:space="0" w:color="auto"/>
              <w:right w:val="single" w:sz="4" w:space="0" w:color="auto"/>
            </w:tcBorders>
            <w:vAlign w:val="bottom"/>
          </w:tcPr>
          <w:p w:rsidR="007E2BC7" w:rsidRPr="0040771E" w14:paraId="2A7E64E2" w14:textId="77777777">
            <w:pPr>
              <w:outlineLvl w:val="0"/>
            </w:pPr>
            <w:r w:rsidRPr="0040771E">
              <w:t>&lt;0.</w:t>
            </w:r>
            <w:r w:rsidRPr="0040771E">
              <w:rPr>
                <w:szCs w:val="22"/>
              </w:rPr>
              <w:t>0001</w:t>
            </w:r>
          </w:p>
        </w:tc>
        <w:tc>
          <w:tcPr>
            <w:tcW w:w="2658" w:type="dxa"/>
            <w:tcBorders>
              <w:top w:val="nil"/>
              <w:left w:val="single" w:sz="4" w:space="0" w:color="auto"/>
              <w:bottom w:val="single" w:sz="4" w:space="0" w:color="auto"/>
              <w:right w:val="single" w:sz="4" w:space="0" w:color="auto"/>
            </w:tcBorders>
          </w:tcPr>
          <w:p w:rsidR="007E2BC7" w:rsidRPr="0040771E" w14:paraId="4DF0FB3B" w14:textId="77777777">
            <w:pPr>
              <w:outlineLvl w:val="0"/>
            </w:pPr>
          </w:p>
        </w:tc>
      </w:tr>
      <w:tr w14:paraId="503DE553" w14:textId="77777777">
        <w:tblPrEx>
          <w:tblW w:w="9072" w:type="dxa"/>
          <w:jc w:val="center"/>
          <w:tblLook w:val="04A0"/>
        </w:tblPrEx>
        <w:trPr>
          <w:cantSplit/>
          <w:jc w:val="center"/>
        </w:trPr>
        <w:tc>
          <w:tcPr>
            <w:tcW w:w="9287" w:type="dxa"/>
            <w:gridSpan w:val="3"/>
            <w:tcBorders>
              <w:top w:val="single" w:sz="4" w:space="0" w:color="auto"/>
              <w:left w:val="nil"/>
              <w:bottom w:val="nil"/>
              <w:right w:val="nil"/>
            </w:tcBorders>
          </w:tcPr>
          <w:p w:rsidR="007E2BC7" w:rsidRPr="0040771E" w14:paraId="0C609C7B" w14:textId="77777777">
            <w:pPr>
              <w:outlineLvl w:val="0"/>
              <w:rPr>
                <w:sz w:val="18"/>
              </w:rPr>
            </w:pPr>
            <w:r w:rsidRPr="0040771E">
              <w:rPr>
                <w:sz w:val="18"/>
              </w:rPr>
              <w:t>DRd=daratumumab-lenalidomide-dexamethasone; Rd=lenalidomide-dexamethasone; MRD=minimal residual disease; CI=confidence interval; NE=not estimable.</w:t>
            </w:r>
          </w:p>
          <w:p w:rsidR="007E2BC7" w:rsidRPr="0040771E" w14:paraId="715FE216" w14:textId="77777777">
            <w:pPr>
              <w:tabs>
                <w:tab w:val="left" w:pos="284"/>
                <w:tab w:val="clear" w:pos="567"/>
              </w:tabs>
              <w:ind w:left="284" w:hanging="284"/>
              <w:rPr>
                <w:sz w:val="18"/>
              </w:rPr>
            </w:pPr>
            <w:r w:rsidRPr="0040771E">
              <w:rPr>
                <w:vertAlign w:val="superscript"/>
              </w:rPr>
              <w:t>a</w:t>
            </w:r>
            <w:r w:rsidRPr="0040771E">
              <w:rPr>
                <w:sz w:val="18"/>
              </w:rPr>
              <w:tab/>
              <w:t>p-value from Cochran Mantel-Haenszel Chi-Squared test.</w:t>
            </w:r>
          </w:p>
          <w:p w:rsidR="007E2BC7" w:rsidRPr="0040771E" w14:paraId="06716A2B" w14:textId="77777777">
            <w:pPr>
              <w:tabs>
                <w:tab w:val="left" w:pos="284"/>
                <w:tab w:val="clear" w:pos="567"/>
              </w:tabs>
              <w:ind w:left="284" w:hanging="284"/>
              <w:rPr>
                <w:sz w:val="18"/>
                <w:vertAlign w:val="superscript"/>
              </w:rPr>
            </w:pPr>
            <w:r w:rsidRPr="0040771E">
              <w:rPr>
                <w:vertAlign w:val="superscript"/>
              </w:rPr>
              <w:t>b</w:t>
            </w:r>
            <w:r w:rsidRPr="0040771E">
              <w:rPr>
                <w:vertAlign w:val="superscript"/>
              </w:rPr>
              <w:tab/>
            </w:r>
            <w:r w:rsidRPr="0040771E">
              <w:rPr>
                <w:sz w:val="18"/>
                <w:szCs w:val="18"/>
              </w:rPr>
              <w:t>Based on Intent-to-treat population</w:t>
            </w:r>
            <w:r w:rsidRPr="0040771E">
              <w:rPr>
                <w:sz w:val="18"/>
              </w:rPr>
              <w:t xml:space="preserve"> </w:t>
            </w:r>
            <w:r w:rsidRPr="0040771E">
              <w:rPr>
                <w:sz w:val="18"/>
                <w:szCs w:val="18"/>
              </w:rPr>
              <w:t>and threshold of 10</w:t>
            </w:r>
            <w:r w:rsidRPr="0040771E">
              <w:rPr>
                <w:sz w:val="18"/>
                <w:szCs w:val="18"/>
                <w:vertAlign w:val="superscript"/>
              </w:rPr>
              <w:t>-5</w:t>
            </w:r>
          </w:p>
          <w:p w:rsidR="007E2BC7" w:rsidRPr="0040771E" w14:paraId="4802B6FB" w14:textId="77777777">
            <w:pPr>
              <w:tabs>
                <w:tab w:val="left" w:pos="284"/>
                <w:tab w:val="clear" w:pos="567"/>
              </w:tabs>
              <w:ind w:left="284" w:hanging="284"/>
              <w:rPr>
                <w:sz w:val="18"/>
                <w:szCs w:val="18"/>
              </w:rPr>
            </w:pPr>
            <w:r w:rsidRPr="0040771E">
              <w:rPr>
                <w:vertAlign w:val="superscript"/>
              </w:rPr>
              <w:t>c</w:t>
            </w:r>
            <w:r w:rsidRPr="0040771E">
              <w:tab/>
            </w:r>
            <w:r w:rsidRPr="0040771E">
              <w:rPr>
                <w:sz w:val="18"/>
                <w:szCs w:val="18"/>
              </w:rPr>
              <w:t>Mantel</w:t>
            </w:r>
            <w:r w:rsidRPr="0040771E">
              <w:rPr>
                <w:sz w:val="18"/>
                <w:szCs w:val="18"/>
              </w:rPr>
              <w:noBreakHyphen/>
              <w:t>Haenszel estimate of the common odds ratio is used. An odds ratio &gt;1 indicates an advantage for DRd.</w:t>
            </w:r>
          </w:p>
          <w:p w:rsidR="007E2BC7" w:rsidRPr="0040771E" w14:paraId="2B32A057" w14:textId="77777777">
            <w:pPr>
              <w:tabs>
                <w:tab w:val="left" w:pos="284"/>
                <w:tab w:val="clear" w:pos="567"/>
              </w:tabs>
              <w:ind w:left="284" w:hanging="284"/>
              <w:rPr>
                <w:sz w:val="18"/>
              </w:rPr>
            </w:pPr>
            <w:r w:rsidRPr="0040771E">
              <w:rPr>
                <w:vertAlign w:val="superscript"/>
              </w:rPr>
              <w:t>d</w:t>
            </w:r>
            <w:r w:rsidRPr="0040771E">
              <w:rPr>
                <w:sz w:val="18"/>
              </w:rPr>
              <w:tab/>
            </w:r>
            <w:r w:rsidRPr="0040771E">
              <w:rPr>
                <w:sz w:val="18"/>
                <w:szCs w:val="18"/>
              </w:rPr>
              <w:t>p-value is from a Fisher’s exact test.</w:t>
            </w:r>
          </w:p>
        </w:tc>
      </w:tr>
    </w:tbl>
    <w:p w:rsidR="007E2BC7" w:rsidRPr="0040771E" w14:paraId="71937212" w14:textId="77777777">
      <w:pPr>
        <w:rPr>
          <w:szCs w:val="22"/>
        </w:rPr>
      </w:pPr>
    </w:p>
    <w:p w:rsidR="007E2BC7" w:rsidRPr="0040771E" w14:paraId="408C2356" w14:textId="77777777">
      <w:pPr>
        <w:rPr>
          <w:szCs w:val="22"/>
        </w:rPr>
      </w:pPr>
    </w:p>
    <w:p w:rsidR="007E2BC7" w:rsidRPr="0040771E" w14:paraId="5B346B63" w14:textId="77777777">
      <w:pPr>
        <w:keepNext/>
        <w:rPr>
          <w:i/>
          <w:iCs/>
        </w:rPr>
      </w:pPr>
      <w:bookmarkStart w:id="41" w:name="_Hlk80273754"/>
      <w:r w:rsidRPr="0040771E">
        <w:rPr>
          <w:i/>
          <w:iCs/>
        </w:rPr>
        <w:t>Combination treatment with bortezomib</w:t>
      </w:r>
    </w:p>
    <w:p w:rsidR="007E2BC7" w:rsidRPr="0040771E" w14:paraId="0508AA4E" w14:textId="32B46E90">
      <w:pPr>
        <w:rPr>
          <w:bCs/>
          <w:iCs/>
        </w:rPr>
      </w:pPr>
      <w:r w:rsidRPr="0040771E">
        <w:rPr>
          <w:bCs/>
          <w:iCs/>
          <w:szCs w:val="22"/>
        </w:rPr>
        <w:t xml:space="preserve">Study MMY3004, an open-label, randomised, active-controlled phase III study, compared treatment with </w:t>
      </w:r>
      <w:r w:rsidR="00E65908">
        <w:rPr>
          <w:bCs/>
          <w:iCs/>
          <w:szCs w:val="22"/>
        </w:rPr>
        <w:t>DARZALEX</w:t>
      </w:r>
      <w:r w:rsidRPr="0040771E">
        <w:rPr>
          <w:bCs/>
          <w:iCs/>
          <w:szCs w:val="22"/>
        </w:rPr>
        <w:t xml:space="preserve"> 16 mg/kg in combination with bortezomib and dexamethasone (DVd), to treatment with bortezomib and dexamethasone (Vd) in patients with relapsed or refractory multiple myeloma who had received at least one prior therapy. Bortezomib was administered by subcutaneous injection or intravenous injection at a dose of 1.3 mg/m</w:t>
      </w:r>
      <w:r w:rsidRPr="0040771E">
        <w:rPr>
          <w:bCs/>
          <w:iCs/>
          <w:szCs w:val="22"/>
          <w:vertAlign w:val="superscript"/>
        </w:rPr>
        <w:t>2</w:t>
      </w:r>
      <w:r w:rsidRPr="0040771E">
        <w:rPr>
          <w:bCs/>
          <w:iCs/>
          <w:szCs w:val="22"/>
        </w:rPr>
        <w:t xml:space="preserve"> body surface area twice weekly for two weeks (days 1, </w:t>
      </w:r>
      <w:r w:rsidRPr="0040771E">
        <w:rPr>
          <w:bCs/>
          <w:iCs/>
          <w:szCs w:val="22"/>
        </w:rPr>
        <w:t xml:space="preserve">4, 8, and 11) of repeated 21 day (3-week) treatment cycles, </w:t>
      </w:r>
      <w:r w:rsidRPr="0040771E">
        <w:t>for a total of 8 cycles. Dexamethasone was administered orally at a dose of 20 mg on days 1, 2, 4, 5, 8, 9, 11, and 12 of each of the 8 bortezomib cycles (80 mg/week for two out of three weeks of the bortezomib cycle) or a reduced dose of 20 mg/week for patients &gt;75 years, BMI</w:t>
      </w:r>
      <w:r w:rsidRPr="0040771E">
        <w:rPr>
          <w:bCs/>
        </w:rPr>
        <w:t> </w:t>
      </w:r>
      <w:r w:rsidRPr="0040771E">
        <w:t xml:space="preserve">&lt;18.5, poorly controlled diabetes mellitus or prior intolerance to steroid therapy. On the days of </w:t>
      </w:r>
      <w:r w:rsidR="00E65908">
        <w:t>DARZALEX</w:t>
      </w:r>
      <w:r w:rsidRPr="0040771E">
        <w:t xml:space="preserve"> infusion, 20 mg of the dexamethasone dose was administered as a pre-infusion </w:t>
      </w:r>
      <w:r w:rsidRPr="0040771E">
        <w:rPr>
          <w:bCs/>
          <w:iCs/>
          <w:szCs w:val="22"/>
        </w:rPr>
        <w:t>medicinal product</w:t>
      </w:r>
      <w:r w:rsidRPr="0040771E">
        <w:t xml:space="preserve">. </w:t>
      </w:r>
      <w:r w:rsidR="00E65908">
        <w:t>DARZALEX</w:t>
      </w:r>
      <w:r w:rsidRPr="0040771E">
        <w:t xml:space="preserve"> </w:t>
      </w:r>
      <w:r w:rsidRPr="0040771E">
        <w:rPr>
          <w:bCs/>
          <w:iCs/>
        </w:rPr>
        <w:t>treatment was continued until disease progression or unacceptable toxicity.</w:t>
      </w:r>
    </w:p>
    <w:bookmarkEnd w:id="41"/>
    <w:p w:rsidR="007E2BC7" w:rsidRPr="0040771E" w14:paraId="387A370C" w14:textId="77777777"/>
    <w:p w:rsidR="007E2BC7" w:rsidRPr="0040771E" w14:paraId="439E907D" w14:textId="4F025697">
      <w:pPr>
        <w:rPr>
          <w:bCs/>
          <w:iCs/>
          <w:szCs w:val="22"/>
        </w:rPr>
      </w:pPr>
      <w:r w:rsidRPr="0040771E">
        <w:rPr>
          <w:bCs/>
          <w:iCs/>
          <w:szCs w:val="22"/>
        </w:rPr>
        <w:t xml:space="preserve">A total of 498 patients were randomised; 251 to the DVd arm and 247 to the Vd arm. The baseline demographic and disease characteristics were similar between the </w:t>
      </w:r>
      <w:r w:rsidR="00E65908">
        <w:rPr>
          <w:bCs/>
          <w:iCs/>
          <w:szCs w:val="22"/>
        </w:rPr>
        <w:t>DARZALEX</w:t>
      </w:r>
      <w:r w:rsidRPr="0040771E">
        <w:rPr>
          <w:bCs/>
          <w:iCs/>
          <w:szCs w:val="22"/>
        </w:rPr>
        <w:t xml:space="preserve"> and the control arm. The median patient age was 64 years (range 30 to 88 years) and 12% were ≥75 years. Sixty</w:t>
      </w:r>
      <w:r w:rsidRPr="0040771E">
        <w:rPr>
          <w:bCs/>
          <w:iCs/>
          <w:szCs w:val="22"/>
        </w:rPr>
        <w:noBreakHyphen/>
        <w:t>nine percent (69%) of patients had received a prior PI (66% received bortezomib) and 76% of patients received an IMiD (42% received lenalidomide). At baseline, 32% of patients were refractory to the last line of treatment. Thirty-three percent (33%) of patients were refractory to an IMiD only, and 28% were refractory to lenalidomide. Patients refractory to bortezomib were excluded from the study.</w:t>
      </w:r>
    </w:p>
    <w:p w:rsidR="007E2BC7" w:rsidRPr="0040771E" w14:paraId="3519F00A" w14:textId="77777777"/>
    <w:p w:rsidR="007E2BC7" w:rsidRPr="0040771E" w14:paraId="3F1A874D" w14:textId="77777777">
      <w:pPr>
        <w:rPr>
          <w:bCs/>
          <w:iCs/>
          <w:szCs w:val="22"/>
        </w:rPr>
      </w:pPr>
      <w:r w:rsidRPr="0040771E">
        <w:t>With a median follow</w:t>
      </w:r>
      <w:r w:rsidRPr="0040771E">
        <w:noBreakHyphen/>
        <w:t>up of 7.4 months, the primary analysis of PFS in</w:t>
      </w:r>
      <w:r w:rsidRPr="0040771E">
        <w:rPr>
          <w:bCs/>
          <w:iCs/>
          <w:szCs w:val="22"/>
        </w:rPr>
        <w:t xml:space="preserve"> study MMY3004 demonstrated an improvement in the DVd arm as compared to the Vd arm; the median PFS had not been reached in the DVd arm and was 7.2 months in the Vd arm (HR [95% CI]: 0.39 [0.28, 0.53]; p-value &lt; 0.0001). </w:t>
      </w:r>
      <w:r w:rsidRPr="0040771E">
        <w:t>Results of an updated PFS analysis after a median follow</w:t>
      </w:r>
      <w:r w:rsidRPr="0040771E">
        <w:noBreakHyphen/>
        <w:t xml:space="preserve">up of 50 months continued to show an improvement in PFS for patients in the DVd arm compared with the Vd arm. Median PFS was 16.7 months in the DVd arm and 7.1 months in the Vd arm (HR [95% CI]: 0.31 [0.24, 0.39]; p-value &lt; 0.0001), representing a 69% reduction in the risk of disease progression or death in patients treated with DVd </w:t>
      </w:r>
      <w:r w:rsidRPr="0040771E">
        <w:rPr>
          <w:i/>
          <w:iCs/>
        </w:rPr>
        <w:t>versus</w:t>
      </w:r>
      <w:r w:rsidRPr="0040771E">
        <w:t xml:space="preserve"> Vd</w:t>
      </w:r>
      <w:r w:rsidRPr="0040771E">
        <w:rPr>
          <w:bCs/>
          <w:iCs/>
          <w:szCs w:val="22"/>
        </w:rPr>
        <w:t xml:space="preserve"> (see figure 8).</w:t>
      </w:r>
    </w:p>
    <w:p w:rsidR="007E2BC7" w:rsidRPr="0040771E" w14:paraId="77C55C60" w14:textId="77777777"/>
    <w:p w:rsidR="007E2BC7" w:rsidRPr="0040771E" w14:paraId="6975D30C" w14:textId="77777777">
      <w:pPr>
        <w:keepNext/>
        <w:tabs>
          <w:tab w:val="clear" w:pos="567"/>
          <w:tab w:val="left" w:pos="1134"/>
        </w:tabs>
        <w:ind w:left="1134" w:hanging="1134"/>
        <w:rPr>
          <w:b/>
          <w:sz w:val="20"/>
        </w:rPr>
      </w:pPr>
      <w:r w:rsidRPr="0040771E">
        <w:rPr>
          <w:b/>
          <w:sz w:val="20"/>
        </w:rPr>
        <w:t>Figure </w:t>
      </w:r>
      <w:r w:rsidRPr="0040771E">
        <w:rPr>
          <w:b/>
          <w:bCs/>
          <w:sz w:val="20"/>
          <w:szCs w:val="18"/>
        </w:rPr>
        <w:t>8</w:t>
      </w:r>
      <w:r w:rsidRPr="0040771E">
        <w:rPr>
          <w:b/>
          <w:sz w:val="20"/>
        </w:rPr>
        <w:t>:</w:t>
      </w:r>
      <w:r w:rsidRPr="0040771E">
        <w:rPr>
          <w:b/>
          <w:sz w:val="20"/>
        </w:rPr>
        <w:tab/>
        <w:t>Kaplan-Meier curve of PFS in study MMY3004</w:t>
      </w:r>
    </w:p>
    <w:p w:rsidR="007E2BC7" w:rsidRPr="0040771E" w14:paraId="682E5D15" w14:textId="77777777">
      <w:pPr>
        <w:keepNext/>
      </w:pPr>
    </w:p>
    <w:p w:rsidR="007E2BC7" w:rsidRPr="0040771E" w14:paraId="55B5D3C8" w14:textId="77777777">
      <w:pPr>
        <w:rPr>
          <w:bCs/>
          <w:szCs w:val="22"/>
        </w:rPr>
      </w:pPr>
      <w:r>
        <w:rPr>
          <w:bCs/>
          <w:szCs w:val="22"/>
        </w:rPr>
        <w:pict>
          <v:shape id="_x0000_i1028" type="#_x0000_t75" style="width:410.25pt;height:388.5pt">
            <v:imagedata r:id="rId20" o:title="Fig 5 MMY3004 png"/>
          </v:shape>
        </w:pict>
      </w:r>
    </w:p>
    <w:p w:rsidR="007E2BC7" w:rsidRPr="0040771E" w14:paraId="3B8A81BD" w14:textId="77777777">
      <w:pPr>
        <w:rPr>
          <w:bCs/>
          <w:szCs w:val="22"/>
        </w:rPr>
      </w:pPr>
    </w:p>
    <w:p w:rsidR="007E2BC7" w:rsidRPr="0040771E" w14:paraId="4BA00095" w14:textId="77777777">
      <w:pPr>
        <w:rPr>
          <w:color w:val="000000"/>
        </w:rPr>
      </w:pPr>
      <w:r w:rsidRPr="0040771E">
        <w:rPr>
          <w:color w:val="000000"/>
        </w:rPr>
        <w:t>After a median follow-up of 73 months, DVd has shown an OS advantage over the Vd arm (HR=0.74; 95% CI: 0.59, 0.92; p=0.0075). The median OS was 49.6 months in the DVd arm and 38.5 months in the Vd arm.</w:t>
      </w:r>
    </w:p>
    <w:p w:rsidR="007E2BC7" w:rsidRPr="0040771E" w14:paraId="54433490" w14:textId="77777777"/>
    <w:p w:rsidR="007E2BC7" w:rsidRPr="0040771E" w14:paraId="31444963" w14:textId="77777777">
      <w:pPr>
        <w:keepNext/>
        <w:tabs>
          <w:tab w:val="clear" w:pos="567"/>
          <w:tab w:val="left" w:pos="1134"/>
        </w:tabs>
        <w:ind w:left="1134" w:hanging="1134"/>
        <w:rPr>
          <w:b/>
          <w:bCs/>
          <w:color w:val="000000"/>
        </w:rPr>
      </w:pPr>
      <w:r w:rsidRPr="0040771E">
        <w:rPr>
          <w:b/>
          <w:bCs/>
          <w:color w:val="000000"/>
        </w:rPr>
        <w:t>Figure 9:</w:t>
      </w:r>
      <w:r w:rsidRPr="0040771E">
        <w:rPr>
          <w:b/>
          <w:bCs/>
          <w:color w:val="000000"/>
        </w:rPr>
        <w:tab/>
        <w:t>Kaplan-Meier curve of OS in study MMY3004</w:t>
      </w:r>
    </w:p>
    <w:p w:rsidR="007E2BC7" w:rsidRPr="0040771E" w14:paraId="23C022F9" w14:textId="77777777">
      <w:pPr>
        <w:keepNext/>
        <w:rPr>
          <w:color w:val="000000"/>
        </w:rPr>
      </w:pPr>
    </w:p>
    <w:p w:rsidR="007E2BC7" w:rsidRPr="0040771E" w14:paraId="1D0A734A" w14:textId="77777777">
      <w:pPr>
        <w:rPr>
          <w:color w:val="000000"/>
        </w:rPr>
      </w:pPr>
      <w:r w:rsidRPr="0040771E">
        <w:rPr>
          <w:color w:val="000000"/>
        </w:rPr>
        <w:drawing>
          <wp:inline distT="0" distB="0" distL="0" distR="0">
            <wp:extent cx="5448300" cy="36861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453779" name="Picture 8"/>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448300" cy="3686175"/>
                    </a:xfrm>
                    <a:prstGeom prst="rect">
                      <a:avLst/>
                    </a:prstGeom>
                    <a:noFill/>
                    <a:ln>
                      <a:noFill/>
                    </a:ln>
                  </pic:spPr>
                </pic:pic>
              </a:graphicData>
            </a:graphic>
          </wp:inline>
        </w:drawing>
      </w:r>
    </w:p>
    <w:p w:rsidR="007E2BC7" w:rsidRPr="0040771E" w14:paraId="34F5A6A4" w14:textId="77777777">
      <w:pPr>
        <w:rPr>
          <w:bCs/>
          <w:color w:val="000000"/>
          <w:szCs w:val="22"/>
        </w:rPr>
      </w:pPr>
    </w:p>
    <w:p w:rsidR="007E2BC7" w:rsidRPr="0040771E" w14:paraId="4F06A35D" w14:textId="77777777"/>
    <w:p w:rsidR="007E2BC7" w:rsidRPr="0040771E" w14:paraId="4CB6130E" w14:textId="77777777">
      <w:r w:rsidRPr="0040771E">
        <w:t>Additional efficacy results from study MMY3004 are presented in table </w:t>
      </w:r>
      <w:r w:rsidRPr="0040771E">
        <w:rPr>
          <w:bCs/>
          <w:szCs w:val="22"/>
        </w:rPr>
        <w:t>12</w:t>
      </w:r>
      <w:r w:rsidRPr="0040771E">
        <w:t xml:space="preserve"> below.</w:t>
      </w:r>
    </w:p>
    <w:p w:rsidR="007E2BC7" w:rsidRPr="0040771E" w14:paraId="0005EBFD" w14:textId="77777777">
      <w:pPr>
        <w:rPr>
          <w:b/>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9"/>
        <w:gridCol w:w="2126"/>
        <w:gridCol w:w="2267"/>
      </w:tblGrid>
      <w:tr w14:paraId="356D509C" w14:textId="77777777">
        <w:tblPrEx>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9072" w:type="dxa"/>
            <w:gridSpan w:val="3"/>
            <w:tcBorders>
              <w:top w:val="nil"/>
              <w:left w:val="nil"/>
              <w:bottom w:val="single" w:sz="4" w:space="0" w:color="auto"/>
              <w:right w:val="nil"/>
            </w:tcBorders>
          </w:tcPr>
          <w:p w:rsidR="007E2BC7" w:rsidRPr="0040771E" w14:paraId="7E3AEB99" w14:textId="77777777">
            <w:pPr>
              <w:keepNext/>
              <w:tabs>
                <w:tab w:val="left" w:pos="1152"/>
              </w:tabs>
              <w:ind w:left="567" w:hanging="567"/>
              <w:rPr>
                <w:b/>
              </w:rPr>
            </w:pPr>
            <w:r w:rsidRPr="0040771E">
              <w:rPr>
                <w:b/>
              </w:rPr>
              <w:t>Table </w:t>
            </w:r>
            <w:r w:rsidRPr="0040771E">
              <w:rPr>
                <w:b/>
                <w:bCs/>
                <w:szCs w:val="22"/>
              </w:rPr>
              <w:t>12</w:t>
            </w:r>
            <w:r w:rsidRPr="0040771E">
              <w:rPr>
                <w:b/>
              </w:rPr>
              <w:t>:</w:t>
            </w:r>
            <w:r w:rsidRPr="0040771E">
              <w:rPr>
                <w:b/>
              </w:rPr>
              <w:tab/>
              <w:t>Additional e</w:t>
            </w:r>
            <w:r w:rsidRPr="0040771E">
              <w:rPr>
                <w:b/>
                <w:bCs/>
                <w:szCs w:val="22"/>
              </w:rPr>
              <w:t>fficacy results from study MMY3004</w:t>
            </w:r>
          </w:p>
        </w:tc>
      </w:tr>
      <w:tr w14:paraId="45920B54" w14:textId="77777777">
        <w:tblPrEx>
          <w:tblW w:w="9072" w:type="dxa"/>
          <w:jc w:val="center"/>
          <w:tblLook w:val="04A0"/>
        </w:tblPrEx>
        <w:trPr>
          <w:cantSplit/>
          <w:jc w:val="center"/>
        </w:trPr>
        <w:tc>
          <w:tcPr>
            <w:tcW w:w="4679" w:type="dxa"/>
            <w:tcBorders>
              <w:bottom w:val="single" w:sz="4" w:space="0" w:color="auto"/>
            </w:tcBorders>
          </w:tcPr>
          <w:p w:rsidR="007E2BC7" w:rsidRPr="0040771E" w14:paraId="3DBA3408" w14:textId="77777777">
            <w:pPr>
              <w:keepNext/>
              <w:outlineLvl w:val="0"/>
              <w:rPr>
                <w:szCs w:val="22"/>
              </w:rPr>
            </w:pPr>
            <w:r w:rsidRPr="0040771E">
              <w:rPr>
                <w:szCs w:val="22"/>
              </w:rPr>
              <w:t>Response evaluable patient number</w:t>
            </w:r>
          </w:p>
        </w:tc>
        <w:tc>
          <w:tcPr>
            <w:tcW w:w="2126" w:type="dxa"/>
            <w:tcBorders>
              <w:bottom w:val="single" w:sz="4" w:space="0" w:color="auto"/>
            </w:tcBorders>
          </w:tcPr>
          <w:p w:rsidR="007E2BC7" w:rsidRPr="0040771E" w14:paraId="2B6AFC10" w14:textId="77777777">
            <w:pPr>
              <w:keepNext/>
              <w:outlineLvl w:val="0"/>
              <w:rPr>
                <w:szCs w:val="22"/>
              </w:rPr>
            </w:pPr>
            <w:r w:rsidRPr="0040771E">
              <w:rPr>
                <w:szCs w:val="22"/>
              </w:rPr>
              <w:t>DVd (n=240)</w:t>
            </w:r>
          </w:p>
        </w:tc>
        <w:tc>
          <w:tcPr>
            <w:tcW w:w="2267" w:type="dxa"/>
            <w:tcBorders>
              <w:bottom w:val="single" w:sz="4" w:space="0" w:color="auto"/>
            </w:tcBorders>
          </w:tcPr>
          <w:p w:rsidR="007E2BC7" w:rsidRPr="0040771E" w14:paraId="4254AD88" w14:textId="77777777">
            <w:pPr>
              <w:keepNext/>
              <w:outlineLvl w:val="0"/>
              <w:rPr>
                <w:szCs w:val="22"/>
              </w:rPr>
            </w:pPr>
            <w:r w:rsidRPr="0040771E">
              <w:rPr>
                <w:szCs w:val="22"/>
              </w:rPr>
              <w:t xml:space="preserve">Vd (n=234) </w:t>
            </w:r>
          </w:p>
        </w:tc>
      </w:tr>
      <w:tr w14:paraId="2D581239" w14:textId="77777777">
        <w:tblPrEx>
          <w:tblW w:w="9072" w:type="dxa"/>
          <w:jc w:val="center"/>
          <w:tblLook w:val="04A0"/>
        </w:tblPrEx>
        <w:trPr>
          <w:cantSplit/>
          <w:jc w:val="center"/>
        </w:trPr>
        <w:tc>
          <w:tcPr>
            <w:tcW w:w="4679" w:type="dxa"/>
            <w:tcBorders>
              <w:top w:val="single" w:sz="4" w:space="0" w:color="auto"/>
              <w:left w:val="single" w:sz="4" w:space="0" w:color="auto"/>
              <w:bottom w:val="nil"/>
              <w:right w:val="single" w:sz="4" w:space="0" w:color="auto"/>
            </w:tcBorders>
          </w:tcPr>
          <w:p w:rsidR="007E2BC7" w:rsidRPr="00591F9E" w14:paraId="0EC975F4" w14:textId="77777777">
            <w:pPr>
              <w:keepNext/>
              <w:outlineLvl w:val="0"/>
              <w:rPr>
                <w:szCs w:val="22"/>
                <w:lang w:val="pt-BR"/>
              </w:rPr>
            </w:pPr>
            <w:r w:rsidRPr="00591F9E">
              <w:rPr>
                <w:lang w:val="pt-BR"/>
              </w:rPr>
              <w:t>Overall response (sCR+CR+VGPR+PR) n(%)</w:t>
            </w:r>
          </w:p>
        </w:tc>
        <w:tc>
          <w:tcPr>
            <w:tcW w:w="2126" w:type="dxa"/>
            <w:tcBorders>
              <w:top w:val="single" w:sz="4" w:space="0" w:color="auto"/>
              <w:left w:val="single" w:sz="4" w:space="0" w:color="auto"/>
              <w:bottom w:val="nil"/>
              <w:right w:val="single" w:sz="4" w:space="0" w:color="auto"/>
            </w:tcBorders>
            <w:vAlign w:val="bottom"/>
          </w:tcPr>
          <w:p w:rsidR="007E2BC7" w:rsidRPr="0040771E" w14:paraId="61BEBC59" w14:textId="77777777">
            <w:pPr>
              <w:keepNext/>
              <w:outlineLvl w:val="0"/>
              <w:rPr>
                <w:szCs w:val="22"/>
              </w:rPr>
            </w:pPr>
            <w:r w:rsidRPr="0040771E">
              <w:t>199 (82.9)</w:t>
            </w:r>
          </w:p>
        </w:tc>
        <w:tc>
          <w:tcPr>
            <w:tcW w:w="2267" w:type="dxa"/>
            <w:tcBorders>
              <w:top w:val="single" w:sz="4" w:space="0" w:color="auto"/>
              <w:left w:val="single" w:sz="4" w:space="0" w:color="auto"/>
              <w:bottom w:val="nil"/>
              <w:right w:val="single" w:sz="4" w:space="0" w:color="auto"/>
            </w:tcBorders>
            <w:vAlign w:val="bottom"/>
          </w:tcPr>
          <w:p w:rsidR="007E2BC7" w:rsidRPr="0040771E" w14:paraId="6D4C90B3" w14:textId="77777777">
            <w:pPr>
              <w:keepNext/>
              <w:outlineLvl w:val="0"/>
              <w:rPr>
                <w:szCs w:val="22"/>
              </w:rPr>
            </w:pPr>
            <w:r w:rsidRPr="0040771E">
              <w:t>148 (63.2)</w:t>
            </w:r>
          </w:p>
        </w:tc>
      </w:tr>
      <w:tr w14:paraId="47B6D61B" w14:textId="77777777">
        <w:tblPrEx>
          <w:tblW w:w="9072" w:type="dxa"/>
          <w:jc w:val="center"/>
          <w:tblLook w:val="04A0"/>
        </w:tblPrEx>
        <w:trPr>
          <w:cantSplit/>
          <w:jc w:val="center"/>
        </w:trPr>
        <w:tc>
          <w:tcPr>
            <w:tcW w:w="4679" w:type="dxa"/>
            <w:tcBorders>
              <w:top w:val="nil"/>
              <w:left w:val="single" w:sz="4" w:space="0" w:color="auto"/>
              <w:bottom w:val="nil"/>
              <w:right w:val="single" w:sz="4" w:space="0" w:color="auto"/>
            </w:tcBorders>
          </w:tcPr>
          <w:p w:rsidR="007E2BC7" w:rsidRPr="0040771E" w14:paraId="26BFDD77" w14:textId="77777777">
            <w:pPr>
              <w:keepNext/>
              <w:ind w:left="567"/>
              <w:outlineLvl w:val="0"/>
            </w:pPr>
            <w:r w:rsidRPr="0040771E">
              <w:t>P-value</w:t>
            </w:r>
            <w:r w:rsidRPr="0040771E">
              <w:rPr>
                <w:vertAlign w:val="superscript"/>
              </w:rPr>
              <w:t>a</w:t>
            </w:r>
          </w:p>
        </w:tc>
        <w:tc>
          <w:tcPr>
            <w:tcW w:w="2126" w:type="dxa"/>
            <w:tcBorders>
              <w:top w:val="nil"/>
              <w:left w:val="single" w:sz="4" w:space="0" w:color="auto"/>
              <w:bottom w:val="nil"/>
              <w:right w:val="single" w:sz="4" w:space="0" w:color="auto"/>
            </w:tcBorders>
            <w:vAlign w:val="bottom"/>
          </w:tcPr>
          <w:p w:rsidR="007E2BC7" w:rsidRPr="0040771E" w14:paraId="299FE005" w14:textId="77777777">
            <w:pPr>
              <w:keepNext/>
              <w:outlineLvl w:val="0"/>
              <w:rPr>
                <w:szCs w:val="22"/>
              </w:rPr>
            </w:pPr>
            <w:r w:rsidRPr="0040771E">
              <w:t>&lt;0.0001</w:t>
            </w:r>
          </w:p>
        </w:tc>
        <w:tc>
          <w:tcPr>
            <w:tcW w:w="2267" w:type="dxa"/>
            <w:tcBorders>
              <w:top w:val="nil"/>
              <w:left w:val="single" w:sz="4" w:space="0" w:color="auto"/>
              <w:bottom w:val="nil"/>
              <w:right w:val="single" w:sz="4" w:space="0" w:color="auto"/>
            </w:tcBorders>
            <w:vAlign w:val="bottom"/>
          </w:tcPr>
          <w:p w:rsidR="007E2BC7" w:rsidRPr="0040771E" w14:paraId="7561E5B9" w14:textId="77777777">
            <w:pPr>
              <w:keepNext/>
              <w:outlineLvl w:val="0"/>
              <w:rPr>
                <w:szCs w:val="22"/>
              </w:rPr>
            </w:pPr>
          </w:p>
        </w:tc>
      </w:tr>
      <w:tr w14:paraId="1A55F06D" w14:textId="77777777">
        <w:tblPrEx>
          <w:tblW w:w="9072" w:type="dxa"/>
          <w:jc w:val="center"/>
          <w:tblLook w:val="04A0"/>
        </w:tblPrEx>
        <w:trPr>
          <w:cantSplit/>
          <w:jc w:val="center"/>
        </w:trPr>
        <w:tc>
          <w:tcPr>
            <w:tcW w:w="4679" w:type="dxa"/>
            <w:tcBorders>
              <w:top w:val="nil"/>
              <w:left w:val="single" w:sz="4" w:space="0" w:color="auto"/>
              <w:bottom w:val="nil"/>
              <w:right w:val="single" w:sz="4" w:space="0" w:color="auto"/>
            </w:tcBorders>
          </w:tcPr>
          <w:p w:rsidR="007E2BC7" w:rsidRPr="0040771E" w14:paraId="4C4092DD" w14:textId="77777777">
            <w:pPr>
              <w:keepNext/>
              <w:ind w:left="567"/>
              <w:outlineLvl w:val="0"/>
              <w:rPr>
                <w:szCs w:val="22"/>
              </w:rPr>
            </w:pPr>
            <w:r w:rsidRPr="0040771E">
              <w:t xml:space="preserve">Stringent complete response (sCR) </w:t>
            </w:r>
          </w:p>
        </w:tc>
        <w:tc>
          <w:tcPr>
            <w:tcW w:w="2126" w:type="dxa"/>
            <w:tcBorders>
              <w:top w:val="nil"/>
              <w:left w:val="single" w:sz="4" w:space="0" w:color="auto"/>
              <w:bottom w:val="nil"/>
              <w:right w:val="single" w:sz="4" w:space="0" w:color="auto"/>
            </w:tcBorders>
            <w:vAlign w:val="bottom"/>
          </w:tcPr>
          <w:p w:rsidR="007E2BC7" w:rsidRPr="0040771E" w14:paraId="644F05F2" w14:textId="77777777">
            <w:pPr>
              <w:keepNext/>
              <w:outlineLvl w:val="0"/>
              <w:rPr>
                <w:szCs w:val="22"/>
              </w:rPr>
            </w:pPr>
            <w:r w:rsidRPr="0040771E">
              <w:t>11 (4.6)</w:t>
            </w:r>
          </w:p>
        </w:tc>
        <w:tc>
          <w:tcPr>
            <w:tcW w:w="2267" w:type="dxa"/>
            <w:tcBorders>
              <w:top w:val="nil"/>
              <w:left w:val="single" w:sz="4" w:space="0" w:color="auto"/>
              <w:bottom w:val="nil"/>
              <w:right w:val="single" w:sz="4" w:space="0" w:color="auto"/>
            </w:tcBorders>
            <w:vAlign w:val="bottom"/>
          </w:tcPr>
          <w:p w:rsidR="007E2BC7" w:rsidRPr="0040771E" w14:paraId="46A3F0B3" w14:textId="77777777">
            <w:pPr>
              <w:keepNext/>
              <w:outlineLvl w:val="0"/>
              <w:rPr>
                <w:szCs w:val="22"/>
              </w:rPr>
            </w:pPr>
            <w:r w:rsidRPr="0040771E">
              <w:t>5 (2.1)</w:t>
            </w:r>
          </w:p>
        </w:tc>
      </w:tr>
      <w:tr w14:paraId="490C4510" w14:textId="77777777">
        <w:tblPrEx>
          <w:tblW w:w="9072" w:type="dxa"/>
          <w:jc w:val="center"/>
          <w:tblLook w:val="04A0"/>
        </w:tblPrEx>
        <w:trPr>
          <w:cantSplit/>
          <w:jc w:val="center"/>
        </w:trPr>
        <w:tc>
          <w:tcPr>
            <w:tcW w:w="4679" w:type="dxa"/>
            <w:tcBorders>
              <w:top w:val="nil"/>
              <w:left w:val="single" w:sz="4" w:space="0" w:color="auto"/>
              <w:bottom w:val="nil"/>
              <w:right w:val="single" w:sz="4" w:space="0" w:color="auto"/>
            </w:tcBorders>
          </w:tcPr>
          <w:p w:rsidR="007E2BC7" w:rsidRPr="0040771E" w14:paraId="6DF54090" w14:textId="77777777">
            <w:pPr>
              <w:keepNext/>
              <w:ind w:left="567"/>
              <w:outlineLvl w:val="0"/>
              <w:rPr>
                <w:szCs w:val="22"/>
              </w:rPr>
            </w:pPr>
            <w:r w:rsidRPr="0040771E">
              <w:t>Complete response (CR)</w:t>
            </w:r>
          </w:p>
        </w:tc>
        <w:tc>
          <w:tcPr>
            <w:tcW w:w="2126" w:type="dxa"/>
            <w:tcBorders>
              <w:top w:val="nil"/>
              <w:left w:val="single" w:sz="4" w:space="0" w:color="auto"/>
              <w:bottom w:val="nil"/>
              <w:right w:val="single" w:sz="4" w:space="0" w:color="auto"/>
            </w:tcBorders>
            <w:vAlign w:val="bottom"/>
          </w:tcPr>
          <w:p w:rsidR="007E2BC7" w:rsidRPr="0040771E" w14:paraId="74BAD2A4" w14:textId="77777777">
            <w:pPr>
              <w:keepNext/>
              <w:outlineLvl w:val="0"/>
              <w:rPr>
                <w:szCs w:val="22"/>
              </w:rPr>
            </w:pPr>
            <w:r w:rsidRPr="0040771E">
              <w:t>35 (14.6)</w:t>
            </w:r>
          </w:p>
        </w:tc>
        <w:tc>
          <w:tcPr>
            <w:tcW w:w="2267" w:type="dxa"/>
            <w:tcBorders>
              <w:top w:val="nil"/>
              <w:left w:val="single" w:sz="4" w:space="0" w:color="auto"/>
              <w:bottom w:val="nil"/>
              <w:right w:val="single" w:sz="4" w:space="0" w:color="auto"/>
            </w:tcBorders>
            <w:vAlign w:val="bottom"/>
          </w:tcPr>
          <w:p w:rsidR="007E2BC7" w:rsidRPr="0040771E" w14:paraId="3E2FC102" w14:textId="77777777">
            <w:pPr>
              <w:keepNext/>
              <w:outlineLvl w:val="0"/>
              <w:rPr>
                <w:szCs w:val="22"/>
              </w:rPr>
            </w:pPr>
            <w:r w:rsidRPr="0040771E">
              <w:t>16 (6.8)</w:t>
            </w:r>
          </w:p>
        </w:tc>
      </w:tr>
      <w:tr w14:paraId="09BA8255" w14:textId="77777777">
        <w:tblPrEx>
          <w:tblW w:w="9072" w:type="dxa"/>
          <w:jc w:val="center"/>
          <w:tblLook w:val="04A0"/>
        </w:tblPrEx>
        <w:trPr>
          <w:cantSplit/>
          <w:jc w:val="center"/>
        </w:trPr>
        <w:tc>
          <w:tcPr>
            <w:tcW w:w="4679" w:type="dxa"/>
            <w:tcBorders>
              <w:top w:val="nil"/>
              <w:left w:val="single" w:sz="4" w:space="0" w:color="auto"/>
              <w:bottom w:val="nil"/>
              <w:right w:val="single" w:sz="4" w:space="0" w:color="auto"/>
            </w:tcBorders>
          </w:tcPr>
          <w:p w:rsidR="007E2BC7" w:rsidRPr="0040771E" w14:paraId="76C260C2" w14:textId="77777777">
            <w:pPr>
              <w:keepNext/>
              <w:ind w:left="567"/>
              <w:outlineLvl w:val="0"/>
              <w:rPr>
                <w:szCs w:val="22"/>
              </w:rPr>
            </w:pPr>
            <w:r w:rsidRPr="0040771E">
              <w:t>Very good partial response (VGPR)</w:t>
            </w:r>
          </w:p>
        </w:tc>
        <w:tc>
          <w:tcPr>
            <w:tcW w:w="2126" w:type="dxa"/>
            <w:tcBorders>
              <w:top w:val="nil"/>
              <w:left w:val="single" w:sz="4" w:space="0" w:color="auto"/>
              <w:bottom w:val="nil"/>
              <w:right w:val="single" w:sz="4" w:space="0" w:color="auto"/>
            </w:tcBorders>
            <w:vAlign w:val="bottom"/>
          </w:tcPr>
          <w:p w:rsidR="007E2BC7" w:rsidRPr="0040771E" w14:paraId="1A06EC8A" w14:textId="77777777">
            <w:pPr>
              <w:keepNext/>
              <w:outlineLvl w:val="0"/>
              <w:rPr>
                <w:szCs w:val="22"/>
              </w:rPr>
            </w:pPr>
            <w:r w:rsidRPr="0040771E">
              <w:t>96 (40.0)</w:t>
            </w:r>
          </w:p>
        </w:tc>
        <w:tc>
          <w:tcPr>
            <w:tcW w:w="2267" w:type="dxa"/>
            <w:tcBorders>
              <w:top w:val="nil"/>
              <w:left w:val="single" w:sz="4" w:space="0" w:color="auto"/>
              <w:bottom w:val="nil"/>
              <w:right w:val="single" w:sz="4" w:space="0" w:color="auto"/>
            </w:tcBorders>
            <w:vAlign w:val="bottom"/>
          </w:tcPr>
          <w:p w:rsidR="007E2BC7" w:rsidRPr="0040771E" w14:paraId="16AD1991" w14:textId="77777777">
            <w:pPr>
              <w:keepNext/>
              <w:outlineLvl w:val="0"/>
              <w:rPr>
                <w:szCs w:val="22"/>
              </w:rPr>
            </w:pPr>
            <w:r w:rsidRPr="0040771E">
              <w:t>47 (20.1)</w:t>
            </w:r>
          </w:p>
        </w:tc>
      </w:tr>
      <w:tr w14:paraId="73D4D17A" w14:textId="77777777">
        <w:tblPrEx>
          <w:tblW w:w="9072" w:type="dxa"/>
          <w:jc w:val="center"/>
          <w:tblLook w:val="04A0"/>
        </w:tblPrEx>
        <w:trPr>
          <w:cantSplit/>
          <w:jc w:val="center"/>
        </w:trPr>
        <w:tc>
          <w:tcPr>
            <w:tcW w:w="4679" w:type="dxa"/>
            <w:tcBorders>
              <w:top w:val="nil"/>
              <w:left w:val="single" w:sz="4" w:space="0" w:color="auto"/>
              <w:bottom w:val="single" w:sz="4" w:space="0" w:color="auto"/>
              <w:right w:val="single" w:sz="4" w:space="0" w:color="auto"/>
            </w:tcBorders>
          </w:tcPr>
          <w:p w:rsidR="007E2BC7" w:rsidRPr="0040771E" w14:paraId="5326A243" w14:textId="77777777">
            <w:pPr>
              <w:keepNext/>
              <w:ind w:left="567"/>
              <w:outlineLvl w:val="0"/>
            </w:pPr>
            <w:r w:rsidRPr="0040771E">
              <w:t>Partial response (PR)</w:t>
            </w:r>
          </w:p>
        </w:tc>
        <w:tc>
          <w:tcPr>
            <w:tcW w:w="2126" w:type="dxa"/>
            <w:tcBorders>
              <w:top w:val="nil"/>
              <w:left w:val="single" w:sz="4" w:space="0" w:color="auto"/>
              <w:bottom w:val="single" w:sz="4" w:space="0" w:color="auto"/>
              <w:right w:val="single" w:sz="4" w:space="0" w:color="auto"/>
            </w:tcBorders>
            <w:vAlign w:val="bottom"/>
          </w:tcPr>
          <w:p w:rsidR="007E2BC7" w:rsidRPr="0040771E" w14:paraId="0C2BC4B3" w14:textId="77777777">
            <w:pPr>
              <w:keepNext/>
              <w:outlineLvl w:val="0"/>
            </w:pPr>
            <w:r w:rsidRPr="0040771E">
              <w:t>57 (23.8)</w:t>
            </w:r>
          </w:p>
        </w:tc>
        <w:tc>
          <w:tcPr>
            <w:tcW w:w="2267" w:type="dxa"/>
            <w:tcBorders>
              <w:top w:val="nil"/>
              <w:left w:val="single" w:sz="4" w:space="0" w:color="auto"/>
              <w:bottom w:val="single" w:sz="4" w:space="0" w:color="auto"/>
              <w:right w:val="single" w:sz="4" w:space="0" w:color="auto"/>
            </w:tcBorders>
            <w:vAlign w:val="bottom"/>
          </w:tcPr>
          <w:p w:rsidR="007E2BC7" w:rsidRPr="0040771E" w14:paraId="0625D123" w14:textId="77777777">
            <w:pPr>
              <w:keepNext/>
              <w:outlineLvl w:val="0"/>
            </w:pPr>
            <w:r w:rsidRPr="0040771E">
              <w:t>80 (34.2)</w:t>
            </w:r>
          </w:p>
        </w:tc>
      </w:tr>
      <w:tr w14:paraId="1ED7B212" w14:textId="77777777">
        <w:tblPrEx>
          <w:tblW w:w="9072" w:type="dxa"/>
          <w:jc w:val="center"/>
          <w:tblLook w:val="04A0"/>
        </w:tblPrEx>
        <w:trPr>
          <w:cantSplit/>
          <w:jc w:val="center"/>
        </w:trPr>
        <w:tc>
          <w:tcPr>
            <w:tcW w:w="4679" w:type="dxa"/>
            <w:tcBorders>
              <w:top w:val="nil"/>
              <w:left w:val="single" w:sz="4" w:space="0" w:color="auto"/>
              <w:bottom w:val="single" w:sz="4" w:space="0" w:color="auto"/>
              <w:right w:val="single" w:sz="4" w:space="0" w:color="auto"/>
            </w:tcBorders>
          </w:tcPr>
          <w:p w:rsidR="007E2BC7" w:rsidRPr="0040771E" w14:paraId="46752424" w14:textId="77777777">
            <w:pPr>
              <w:keepNext/>
              <w:outlineLvl w:val="0"/>
            </w:pPr>
            <w:r w:rsidRPr="0040771E">
              <w:rPr>
                <w:szCs w:val="22"/>
              </w:rPr>
              <w:t>Median time to response [months (range)]</w:t>
            </w:r>
          </w:p>
        </w:tc>
        <w:tc>
          <w:tcPr>
            <w:tcW w:w="2126" w:type="dxa"/>
            <w:tcBorders>
              <w:top w:val="nil"/>
              <w:left w:val="single" w:sz="4" w:space="0" w:color="auto"/>
              <w:bottom w:val="single" w:sz="4" w:space="0" w:color="auto"/>
              <w:right w:val="single" w:sz="4" w:space="0" w:color="auto"/>
            </w:tcBorders>
          </w:tcPr>
          <w:p w:rsidR="007E2BC7" w:rsidRPr="0040771E" w14:paraId="16F8456F" w14:textId="77777777">
            <w:pPr>
              <w:keepNext/>
              <w:outlineLvl w:val="0"/>
            </w:pPr>
            <w:r w:rsidRPr="0040771E">
              <w:rPr>
                <w:szCs w:val="22"/>
              </w:rPr>
              <w:t>0.9 (0.8, 1.4)</w:t>
            </w:r>
          </w:p>
        </w:tc>
        <w:tc>
          <w:tcPr>
            <w:tcW w:w="2267" w:type="dxa"/>
            <w:tcBorders>
              <w:top w:val="nil"/>
              <w:left w:val="single" w:sz="4" w:space="0" w:color="auto"/>
              <w:bottom w:val="single" w:sz="4" w:space="0" w:color="auto"/>
              <w:right w:val="single" w:sz="4" w:space="0" w:color="auto"/>
            </w:tcBorders>
          </w:tcPr>
          <w:p w:rsidR="007E2BC7" w:rsidRPr="0040771E" w14:paraId="4D8C6A52" w14:textId="77777777">
            <w:pPr>
              <w:keepNext/>
              <w:outlineLvl w:val="0"/>
            </w:pPr>
            <w:r w:rsidRPr="0040771E">
              <w:rPr>
                <w:szCs w:val="22"/>
              </w:rPr>
              <w:t xml:space="preserve">1.6 (1.5, 2.1) </w:t>
            </w:r>
          </w:p>
        </w:tc>
      </w:tr>
      <w:tr w14:paraId="7AF1F58A" w14:textId="77777777">
        <w:tblPrEx>
          <w:tblW w:w="9072" w:type="dxa"/>
          <w:jc w:val="center"/>
          <w:tblLook w:val="04A0"/>
        </w:tblPrEx>
        <w:trPr>
          <w:cantSplit/>
          <w:jc w:val="center"/>
        </w:trPr>
        <w:tc>
          <w:tcPr>
            <w:tcW w:w="4679" w:type="dxa"/>
            <w:tcBorders>
              <w:top w:val="nil"/>
              <w:left w:val="single" w:sz="4" w:space="0" w:color="auto"/>
              <w:bottom w:val="single" w:sz="4" w:space="0" w:color="auto"/>
              <w:right w:val="single" w:sz="4" w:space="0" w:color="auto"/>
            </w:tcBorders>
          </w:tcPr>
          <w:p w:rsidR="007E2BC7" w:rsidRPr="0040771E" w14:paraId="53D70DB1" w14:textId="77777777">
            <w:pPr>
              <w:keepNext/>
              <w:outlineLvl w:val="0"/>
              <w:rPr>
                <w:szCs w:val="22"/>
              </w:rPr>
            </w:pPr>
            <w:r w:rsidRPr="0040771E">
              <w:rPr>
                <w:szCs w:val="22"/>
              </w:rPr>
              <w:t xml:space="preserve">Median </w:t>
            </w:r>
            <w:r w:rsidRPr="0040771E">
              <w:rPr>
                <w:bCs/>
                <w:iCs/>
                <w:szCs w:val="22"/>
              </w:rPr>
              <w:t>duration of response [months (95% CI)]</w:t>
            </w:r>
          </w:p>
        </w:tc>
        <w:tc>
          <w:tcPr>
            <w:tcW w:w="2126" w:type="dxa"/>
            <w:tcBorders>
              <w:top w:val="nil"/>
              <w:left w:val="single" w:sz="4" w:space="0" w:color="auto"/>
              <w:bottom w:val="single" w:sz="4" w:space="0" w:color="auto"/>
              <w:right w:val="single" w:sz="4" w:space="0" w:color="auto"/>
            </w:tcBorders>
          </w:tcPr>
          <w:p w:rsidR="007E2BC7" w:rsidRPr="0040771E" w14:paraId="7C351F21" w14:textId="77777777">
            <w:pPr>
              <w:keepNext/>
              <w:outlineLvl w:val="0"/>
              <w:rPr>
                <w:szCs w:val="22"/>
              </w:rPr>
            </w:pPr>
            <w:r w:rsidRPr="0040771E">
              <w:rPr>
                <w:bCs/>
                <w:iCs/>
                <w:szCs w:val="22"/>
              </w:rPr>
              <w:t>NE (11.5, NE)</w:t>
            </w:r>
          </w:p>
        </w:tc>
        <w:tc>
          <w:tcPr>
            <w:tcW w:w="2267" w:type="dxa"/>
            <w:tcBorders>
              <w:top w:val="nil"/>
              <w:left w:val="single" w:sz="4" w:space="0" w:color="auto"/>
              <w:bottom w:val="single" w:sz="4" w:space="0" w:color="auto"/>
              <w:right w:val="single" w:sz="4" w:space="0" w:color="auto"/>
            </w:tcBorders>
          </w:tcPr>
          <w:p w:rsidR="007E2BC7" w:rsidRPr="0040771E" w14:paraId="1CF84168" w14:textId="77777777">
            <w:pPr>
              <w:keepNext/>
              <w:outlineLvl w:val="0"/>
              <w:rPr>
                <w:szCs w:val="22"/>
              </w:rPr>
            </w:pPr>
            <w:r w:rsidRPr="0040771E">
              <w:rPr>
                <w:szCs w:val="22"/>
              </w:rPr>
              <w:t>7.9 (6.7, 11.3)</w:t>
            </w:r>
          </w:p>
        </w:tc>
      </w:tr>
      <w:tr w14:paraId="116E4BA4" w14:textId="77777777">
        <w:tblPrEx>
          <w:tblW w:w="9072" w:type="dxa"/>
          <w:jc w:val="center"/>
          <w:tblLook w:val="04A0"/>
        </w:tblPrEx>
        <w:trPr>
          <w:cantSplit/>
          <w:jc w:val="center"/>
        </w:trPr>
        <w:tc>
          <w:tcPr>
            <w:tcW w:w="4679" w:type="dxa"/>
            <w:tcBorders>
              <w:top w:val="single" w:sz="4" w:space="0" w:color="auto"/>
              <w:left w:val="single" w:sz="4" w:space="0" w:color="auto"/>
              <w:bottom w:val="nil"/>
              <w:right w:val="single" w:sz="4" w:space="0" w:color="auto"/>
            </w:tcBorders>
          </w:tcPr>
          <w:p w:rsidR="007E2BC7" w:rsidRPr="0040771E" w14:paraId="2F65A944" w14:textId="77777777">
            <w:pPr>
              <w:keepNext/>
              <w:outlineLvl w:val="0"/>
            </w:pPr>
            <w:r w:rsidRPr="0040771E">
              <w:rPr>
                <w:szCs w:val="22"/>
              </w:rPr>
              <w:t>MRD negative rate (95% CI)</w:t>
            </w:r>
            <w:r w:rsidRPr="0040771E">
              <w:rPr>
                <w:szCs w:val="22"/>
                <w:vertAlign w:val="superscript"/>
              </w:rPr>
              <w:t>b</w:t>
            </w:r>
          </w:p>
        </w:tc>
        <w:tc>
          <w:tcPr>
            <w:tcW w:w="2126" w:type="dxa"/>
            <w:tcBorders>
              <w:top w:val="single" w:sz="4" w:space="0" w:color="auto"/>
              <w:left w:val="single" w:sz="4" w:space="0" w:color="auto"/>
              <w:bottom w:val="nil"/>
              <w:right w:val="single" w:sz="4" w:space="0" w:color="auto"/>
            </w:tcBorders>
            <w:vAlign w:val="bottom"/>
          </w:tcPr>
          <w:p w:rsidR="007E2BC7" w:rsidRPr="0040771E" w14:paraId="6A1B7289" w14:textId="77777777">
            <w:pPr>
              <w:keepNext/>
              <w:outlineLvl w:val="0"/>
            </w:pPr>
            <w:r w:rsidRPr="0040771E">
              <w:rPr>
                <w:szCs w:val="22"/>
              </w:rPr>
              <w:t>8.8% (5.6%, 13.0%)</w:t>
            </w:r>
          </w:p>
        </w:tc>
        <w:tc>
          <w:tcPr>
            <w:tcW w:w="2267" w:type="dxa"/>
            <w:tcBorders>
              <w:top w:val="single" w:sz="4" w:space="0" w:color="auto"/>
              <w:left w:val="single" w:sz="4" w:space="0" w:color="auto"/>
              <w:bottom w:val="nil"/>
              <w:right w:val="single" w:sz="4" w:space="0" w:color="auto"/>
            </w:tcBorders>
            <w:vAlign w:val="bottom"/>
          </w:tcPr>
          <w:p w:rsidR="007E2BC7" w:rsidRPr="0040771E" w14:paraId="3A05F3FF" w14:textId="77777777">
            <w:pPr>
              <w:keepNext/>
              <w:outlineLvl w:val="0"/>
            </w:pPr>
            <w:r w:rsidRPr="0040771E">
              <w:rPr>
                <w:szCs w:val="22"/>
              </w:rPr>
              <w:t>1.2% (0.3%, 3.5%)</w:t>
            </w:r>
          </w:p>
        </w:tc>
      </w:tr>
      <w:tr w14:paraId="4596E300" w14:textId="77777777">
        <w:tblPrEx>
          <w:tblW w:w="9072" w:type="dxa"/>
          <w:jc w:val="center"/>
          <w:tblLook w:val="04A0"/>
        </w:tblPrEx>
        <w:trPr>
          <w:cantSplit/>
          <w:jc w:val="center"/>
        </w:trPr>
        <w:tc>
          <w:tcPr>
            <w:tcW w:w="4679" w:type="dxa"/>
            <w:tcBorders>
              <w:top w:val="nil"/>
              <w:left w:val="single" w:sz="4" w:space="0" w:color="auto"/>
              <w:bottom w:val="nil"/>
              <w:right w:val="single" w:sz="4" w:space="0" w:color="auto"/>
            </w:tcBorders>
          </w:tcPr>
          <w:p w:rsidR="007E2BC7" w:rsidRPr="0040771E" w14:paraId="4F58896D" w14:textId="77777777">
            <w:pPr>
              <w:keepNext/>
              <w:ind w:left="567"/>
              <w:outlineLvl w:val="0"/>
            </w:pPr>
            <w:r w:rsidRPr="0040771E">
              <w:rPr>
                <w:szCs w:val="22"/>
              </w:rPr>
              <w:t>Odds ratio with 95% CI</w:t>
            </w:r>
            <w:r w:rsidRPr="0040771E">
              <w:rPr>
                <w:szCs w:val="22"/>
                <w:vertAlign w:val="superscript"/>
              </w:rPr>
              <w:t>c</w:t>
            </w:r>
          </w:p>
        </w:tc>
        <w:tc>
          <w:tcPr>
            <w:tcW w:w="2126" w:type="dxa"/>
            <w:tcBorders>
              <w:top w:val="nil"/>
              <w:left w:val="single" w:sz="4" w:space="0" w:color="auto"/>
              <w:bottom w:val="nil"/>
              <w:right w:val="single" w:sz="4" w:space="0" w:color="auto"/>
            </w:tcBorders>
            <w:vAlign w:val="bottom"/>
          </w:tcPr>
          <w:p w:rsidR="007E2BC7" w:rsidRPr="0040771E" w14:paraId="129CF2F1" w14:textId="77777777">
            <w:pPr>
              <w:keepNext/>
              <w:outlineLvl w:val="0"/>
            </w:pPr>
            <w:r w:rsidRPr="0040771E">
              <w:rPr>
                <w:szCs w:val="22"/>
              </w:rPr>
              <w:t>9.04 (2.53, 32.21)</w:t>
            </w:r>
          </w:p>
        </w:tc>
        <w:tc>
          <w:tcPr>
            <w:tcW w:w="2267" w:type="dxa"/>
            <w:tcBorders>
              <w:top w:val="nil"/>
              <w:left w:val="single" w:sz="4" w:space="0" w:color="auto"/>
              <w:bottom w:val="nil"/>
              <w:right w:val="single" w:sz="4" w:space="0" w:color="auto"/>
            </w:tcBorders>
            <w:vAlign w:val="bottom"/>
          </w:tcPr>
          <w:p w:rsidR="007E2BC7" w:rsidRPr="0040771E" w14:paraId="2A20C0F3" w14:textId="77777777">
            <w:pPr>
              <w:keepNext/>
              <w:outlineLvl w:val="0"/>
            </w:pPr>
          </w:p>
        </w:tc>
      </w:tr>
      <w:tr w14:paraId="2452E419" w14:textId="77777777">
        <w:tblPrEx>
          <w:tblW w:w="9072" w:type="dxa"/>
          <w:jc w:val="center"/>
          <w:tblLook w:val="04A0"/>
        </w:tblPrEx>
        <w:trPr>
          <w:cantSplit/>
          <w:jc w:val="center"/>
        </w:trPr>
        <w:tc>
          <w:tcPr>
            <w:tcW w:w="4679" w:type="dxa"/>
            <w:tcBorders>
              <w:top w:val="nil"/>
              <w:left w:val="single" w:sz="4" w:space="0" w:color="auto"/>
              <w:bottom w:val="single" w:sz="4" w:space="0" w:color="auto"/>
              <w:right w:val="single" w:sz="4" w:space="0" w:color="auto"/>
            </w:tcBorders>
          </w:tcPr>
          <w:p w:rsidR="007E2BC7" w:rsidRPr="0040771E" w14:paraId="488F3DBB" w14:textId="77777777">
            <w:pPr>
              <w:keepNext/>
              <w:ind w:left="567"/>
              <w:outlineLvl w:val="0"/>
            </w:pPr>
            <w:r w:rsidRPr="0040771E">
              <w:rPr>
                <w:szCs w:val="22"/>
              </w:rPr>
              <w:t>P-value</w:t>
            </w:r>
            <w:r w:rsidRPr="0040771E">
              <w:rPr>
                <w:szCs w:val="22"/>
                <w:vertAlign w:val="superscript"/>
              </w:rPr>
              <w:t>d</w:t>
            </w:r>
          </w:p>
        </w:tc>
        <w:tc>
          <w:tcPr>
            <w:tcW w:w="2126" w:type="dxa"/>
            <w:tcBorders>
              <w:top w:val="nil"/>
              <w:left w:val="single" w:sz="4" w:space="0" w:color="auto"/>
              <w:bottom w:val="single" w:sz="4" w:space="0" w:color="auto"/>
              <w:right w:val="single" w:sz="4" w:space="0" w:color="auto"/>
            </w:tcBorders>
            <w:vAlign w:val="bottom"/>
          </w:tcPr>
          <w:p w:rsidR="007E2BC7" w:rsidRPr="0040771E" w14:paraId="3A401AC2" w14:textId="77777777">
            <w:pPr>
              <w:keepNext/>
              <w:outlineLvl w:val="0"/>
            </w:pPr>
            <w:r w:rsidRPr="0040771E">
              <w:rPr>
                <w:szCs w:val="22"/>
              </w:rPr>
              <w:t>0.0001</w:t>
            </w:r>
          </w:p>
        </w:tc>
        <w:tc>
          <w:tcPr>
            <w:tcW w:w="2267" w:type="dxa"/>
            <w:tcBorders>
              <w:top w:val="nil"/>
              <w:left w:val="single" w:sz="4" w:space="0" w:color="auto"/>
              <w:bottom w:val="single" w:sz="4" w:space="0" w:color="auto"/>
              <w:right w:val="single" w:sz="4" w:space="0" w:color="auto"/>
            </w:tcBorders>
            <w:vAlign w:val="bottom"/>
          </w:tcPr>
          <w:p w:rsidR="007E2BC7" w:rsidRPr="0040771E" w14:paraId="484F4690" w14:textId="77777777">
            <w:pPr>
              <w:keepNext/>
              <w:outlineLvl w:val="0"/>
            </w:pPr>
          </w:p>
        </w:tc>
      </w:tr>
      <w:tr w14:paraId="75A7A84B" w14:textId="77777777">
        <w:tblPrEx>
          <w:tblW w:w="9072" w:type="dxa"/>
          <w:jc w:val="center"/>
          <w:tblLook w:val="04A0"/>
        </w:tblPrEx>
        <w:trPr>
          <w:cantSplit/>
          <w:jc w:val="center"/>
        </w:trPr>
        <w:tc>
          <w:tcPr>
            <w:tcW w:w="9072" w:type="dxa"/>
            <w:gridSpan w:val="3"/>
            <w:tcBorders>
              <w:top w:val="single" w:sz="4" w:space="0" w:color="auto"/>
              <w:left w:val="nil"/>
              <w:bottom w:val="nil"/>
              <w:right w:val="nil"/>
            </w:tcBorders>
          </w:tcPr>
          <w:p w:rsidR="007E2BC7" w:rsidRPr="0040771E" w14:paraId="1B054822" w14:textId="77777777">
            <w:pPr>
              <w:keepNext/>
              <w:outlineLvl w:val="0"/>
              <w:rPr>
                <w:sz w:val="18"/>
              </w:rPr>
            </w:pPr>
            <w:r w:rsidRPr="0040771E">
              <w:rPr>
                <w:sz w:val="18"/>
              </w:rPr>
              <w:t>DVd=daratumumab- bortezomib-dexamethasone; Vd=bortezomib-dexamethasone; MRD=minimal residual disease; CI=confidence interval; NE=not estimable.</w:t>
            </w:r>
          </w:p>
          <w:p w:rsidR="007E2BC7" w:rsidRPr="0040771E" w14:paraId="34AD0AE8" w14:textId="77777777">
            <w:pPr>
              <w:keepNext/>
              <w:tabs>
                <w:tab w:val="left" w:pos="284"/>
                <w:tab w:val="clear" w:pos="567"/>
              </w:tabs>
              <w:ind w:left="284" w:hanging="284"/>
              <w:outlineLvl w:val="0"/>
              <w:rPr>
                <w:sz w:val="18"/>
              </w:rPr>
            </w:pPr>
            <w:r w:rsidRPr="0040771E">
              <w:rPr>
                <w:vertAlign w:val="superscript"/>
              </w:rPr>
              <w:t>a</w:t>
            </w:r>
            <w:r w:rsidRPr="0040771E">
              <w:rPr>
                <w:sz w:val="18"/>
              </w:rPr>
              <w:tab/>
              <w:t>p-value from Cochran Mantel-Haenszel Chi-Squared test.</w:t>
            </w:r>
          </w:p>
          <w:p w:rsidR="007E2BC7" w:rsidRPr="0040771E" w14:paraId="6D8835DA" w14:textId="77777777">
            <w:pPr>
              <w:keepNext/>
              <w:tabs>
                <w:tab w:val="left" w:pos="284"/>
                <w:tab w:val="clear" w:pos="567"/>
              </w:tabs>
              <w:ind w:left="284" w:hanging="284"/>
              <w:outlineLvl w:val="0"/>
              <w:rPr>
                <w:sz w:val="18"/>
                <w:szCs w:val="18"/>
              </w:rPr>
            </w:pPr>
            <w:r w:rsidRPr="0040771E">
              <w:rPr>
                <w:vertAlign w:val="superscript"/>
              </w:rPr>
              <w:t>b</w:t>
            </w:r>
            <w:r w:rsidRPr="0040771E">
              <w:rPr>
                <w:sz w:val="18"/>
                <w:szCs w:val="18"/>
              </w:rPr>
              <w:tab/>
              <w:t>Based on</w:t>
            </w:r>
            <w:r w:rsidRPr="0040771E">
              <w:rPr>
                <w:sz w:val="18"/>
              </w:rPr>
              <w:t xml:space="preserve"> </w:t>
            </w:r>
            <w:r w:rsidRPr="0040771E">
              <w:rPr>
                <w:sz w:val="18"/>
                <w:szCs w:val="18"/>
              </w:rPr>
              <w:t>Intent-to-treat population and threshold of 10</w:t>
            </w:r>
            <w:r w:rsidRPr="0040771E">
              <w:rPr>
                <w:sz w:val="18"/>
                <w:szCs w:val="18"/>
                <w:vertAlign w:val="superscript"/>
              </w:rPr>
              <w:t>-5</w:t>
            </w:r>
          </w:p>
          <w:p w:rsidR="007E2BC7" w:rsidRPr="0040771E" w14:paraId="1D86E8A7" w14:textId="77777777">
            <w:pPr>
              <w:keepNext/>
              <w:tabs>
                <w:tab w:val="left" w:pos="284"/>
                <w:tab w:val="clear" w:pos="567"/>
              </w:tabs>
              <w:ind w:left="284" w:hanging="284"/>
              <w:rPr>
                <w:sz w:val="18"/>
                <w:szCs w:val="18"/>
              </w:rPr>
            </w:pPr>
            <w:r w:rsidRPr="0040771E">
              <w:rPr>
                <w:vertAlign w:val="superscript"/>
              </w:rPr>
              <w:t>c</w:t>
            </w:r>
            <w:r w:rsidRPr="0040771E">
              <w:rPr>
                <w:sz w:val="18"/>
                <w:szCs w:val="18"/>
              </w:rPr>
              <w:tab/>
              <w:t>Mantel-Haenszel estimate of the common odds ratio is used. An odds ratio &gt;1 indicates an advantage for DVd.</w:t>
            </w:r>
          </w:p>
          <w:p w:rsidR="007E2BC7" w:rsidRPr="0040771E" w14:paraId="5B981D44" w14:textId="77777777">
            <w:pPr>
              <w:keepNext/>
              <w:tabs>
                <w:tab w:val="left" w:pos="284"/>
                <w:tab w:val="clear" w:pos="567"/>
              </w:tabs>
              <w:ind w:left="284" w:hanging="284"/>
              <w:outlineLvl w:val="0"/>
              <w:rPr>
                <w:sz w:val="18"/>
              </w:rPr>
            </w:pPr>
            <w:r w:rsidRPr="0040771E">
              <w:rPr>
                <w:vertAlign w:val="superscript"/>
              </w:rPr>
              <w:t>d</w:t>
            </w:r>
            <w:r w:rsidRPr="0040771E">
              <w:rPr>
                <w:sz w:val="18"/>
                <w:szCs w:val="18"/>
              </w:rPr>
              <w:tab/>
              <w:t>p-value is from Fisher’s exact test.</w:t>
            </w:r>
          </w:p>
        </w:tc>
      </w:tr>
    </w:tbl>
    <w:p w:rsidR="007E2BC7" w:rsidRPr="0040771E" w14:paraId="3BF04958" w14:textId="77777777"/>
    <w:p w:rsidR="007E2BC7" w:rsidRPr="0040771E" w14:paraId="0C3A97CD" w14:textId="77777777">
      <w:pPr>
        <w:rPr>
          <w:szCs w:val="22"/>
        </w:rPr>
      </w:pPr>
    </w:p>
    <w:p w:rsidR="007E2BC7" w:rsidRPr="0040771E" w14:paraId="3EDE5D5A" w14:textId="77777777">
      <w:pPr>
        <w:keepNext/>
        <w:outlineLvl w:val="2"/>
        <w:rPr>
          <w:u w:val="single"/>
        </w:rPr>
      </w:pPr>
      <w:r w:rsidRPr="0040771E">
        <w:rPr>
          <w:u w:val="single"/>
        </w:rPr>
        <w:t>Cardiac electrophysiology</w:t>
      </w:r>
    </w:p>
    <w:p w:rsidR="007E2BC7" w:rsidRPr="0040771E" w14:paraId="73B02347" w14:textId="77777777">
      <w:r w:rsidRPr="0040771E">
        <w:t>Daratumumab as a large protein has a low likelihood of direct ion channel interactions. The effect of daratumumab on the QTc interval was evaluated in an open</w:t>
      </w:r>
      <w:r w:rsidRPr="0040771E">
        <w:noBreakHyphen/>
        <w:t>label study for 83 patients (study GEN501) with relapsed and refractory multiple myeloma following daratumumab infusions (4 to 24 mg/kg). Linear mixed PK</w:t>
      </w:r>
      <w:r w:rsidRPr="0040771E">
        <w:noBreakHyphen/>
        <w:t>PD analyses indicated no large increase in mean QTcF interval (i.e. greater than 20 ms) at daratumumab C</w:t>
      </w:r>
      <w:r w:rsidRPr="0040771E">
        <w:rPr>
          <w:vertAlign w:val="subscript"/>
        </w:rPr>
        <w:t>max</w:t>
      </w:r>
      <w:r w:rsidRPr="0040771E">
        <w:t>.</w:t>
      </w:r>
    </w:p>
    <w:p w:rsidR="007E2BC7" w:rsidRPr="0040771E" w14:paraId="474655FA" w14:textId="77777777"/>
    <w:p w:rsidR="007E2BC7" w:rsidRPr="0040771E" w14:paraId="705D22F9" w14:textId="77777777">
      <w:pPr>
        <w:keepNext/>
        <w:outlineLvl w:val="2"/>
        <w:rPr>
          <w:u w:val="single"/>
        </w:rPr>
      </w:pPr>
      <w:r w:rsidRPr="0040771E">
        <w:rPr>
          <w:szCs w:val="22"/>
          <w:u w:val="single"/>
        </w:rPr>
        <w:t>Paediatric population</w:t>
      </w:r>
    </w:p>
    <w:p w:rsidR="007E2BC7" w:rsidRPr="0040771E" w14:paraId="40138B6A" w14:textId="27C0B540">
      <w:pPr>
        <w:rPr>
          <w:szCs w:val="22"/>
        </w:rPr>
      </w:pPr>
      <w:r>
        <w:rPr>
          <w:szCs w:val="22"/>
          <w:lang w:val="en-US"/>
        </w:rPr>
        <w:t>DARZALEX</w:t>
      </w:r>
      <w:r w:rsidRPr="0040771E" w:rsidR="00A14273">
        <w:rPr>
          <w:szCs w:val="22"/>
          <w:lang w:val="en-US"/>
        </w:rPr>
        <w:t xml:space="preserve"> is indicated for use in adults above</w:t>
      </w:r>
      <w:r w:rsidRPr="0040771E" w:rsidR="00A14273">
        <w:t xml:space="preserve"> the </w:t>
      </w:r>
      <w:r w:rsidRPr="0040771E" w:rsidR="00A14273">
        <w:rPr>
          <w:szCs w:val="22"/>
          <w:lang w:val="en-US"/>
        </w:rPr>
        <w:t>age</w:t>
      </w:r>
      <w:r w:rsidRPr="0040771E" w:rsidR="00A14273">
        <w:t xml:space="preserve"> of </w:t>
      </w:r>
      <w:r w:rsidRPr="0040771E" w:rsidR="00A14273">
        <w:rPr>
          <w:szCs w:val="22"/>
          <w:lang w:val="en-US"/>
        </w:rPr>
        <w:t>18</w:t>
      </w:r>
      <w:r w:rsidRPr="0040771E" w:rsidR="00A14273">
        <w:rPr>
          <w:szCs w:val="22"/>
        </w:rPr>
        <w:t xml:space="preserve"> (see section 4.2 for information on paediatric use).</w:t>
      </w:r>
    </w:p>
    <w:p w:rsidR="007E2BC7" w:rsidRPr="0040771E" w14:paraId="48D83D25" w14:textId="77777777"/>
    <w:p w:rsidR="007E2BC7" w:rsidRPr="0040771E" w14:paraId="2AAE93E7" w14:textId="77777777">
      <w:pPr>
        <w:keepNext/>
        <w:ind w:left="567" w:hanging="567"/>
        <w:outlineLvl w:val="1"/>
        <w:rPr>
          <w:b/>
          <w:bCs/>
          <w:szCs w:val="22"/>
        </w:rPr>
      </w:pPr>
      <w:r w:rsidRPr="0040771E">
        <w:rPr>
          <w:b/>
          <w:bCs/>
          <w:szCs w:val="22"/>
        </w:rPr>
        <w:t>5.2</w:t>
      </w:r>
      <w:r w:rsidRPr="0040771E">
        <w:rPr>
          <w:b/>
          <w:bCs/>
          <w:szCs w:val="22"/>
        </w:rPr>
        <w:tab/>
        <w:t>Pharmacokinetic properties</w:t>
      </w:r>
    </w:p>
    <w:p w:rsidR="007E2BC7" w:rsidRPr="0040771E" w14:paraId="066CC822" w14:textId="77777777">
      <w:pPr>
        <w:keepNext/>
      </w:pPr>
    </w:p>
    <w:p w:rsidR="007E2BC7" w:rsidRPr="0040771E" w14:paraId="16467135" w14:textId="77777777">
      <w:r w:rsidRPr="0040771E">
        <w:t>The pharmacokinetics (PK) of daratumumab following intravenous administration of daratumumab monotherapy were evaluated in patients with relapsed and refractory multiple myeloma at dose levels from 0.1 mg/kg to 24 mg/kg.</w:t>
      </w:r>
    </w:p>
    <w:p w:rsidR="007E2BC7" w:rsidRPr="0040771E" w14:paraId="2771C237" w14:textId="77777777"/>
    <w:p w:rsidR="007E2BC7" w:rsidRPr="0040771E" w14:paraId="52348827" w14:textId="77777777">
      <w:r w:rsidRPr="0040771E">
        <w:t>In the 1 to 24 mg/kg cohorts, peak serum concentrations (C</w:t>
      </w:r>
      <w:r w:rsidRPr="0040771E">
        <w:rPr>
          <w:vertAlign w:val="subscript"/>
        </w:rPr>
        <w:t>max</w:t>
      </w:r>
      <w:r w:rsidRPr="0040771E">
        <w:t xml:space="preserve">) after the first dose increased in approximate proportion to dose and volume of distribution was consistent with initial distribution into </w:t>
      </w:r>
      <w:r w:rsidRPr="0040771E">
        <w:rPr>
          <w:szCs w:val="22"/>
        </w:rPr>
        <w:t>the plasma compartment.</w:t>
      </w:r>
      <w:r w:rsidRPr="0040771E">
        <w:rPr>
          <w:bCs/>
          <w:szCs w:val="22"/>
        </w:rPr>
        <w:t xml:space="preserve"> Following the last weekly infusion, C</w:t>
      </w:r>
      <w:r w:rsidRPr="0040771E">
        <w:rPr>
          <w:bCs/>
          <w:szCs w:val="22"/>
          <w:vertAlign w:val="subscript"/>
        </w:rPr>
        <w:t>max</w:t>
      </w:r>
      <w:r w:rsidRPr="0040771E">
        <w:rPr>
          <w:bCs/>
          <w:szCs w:val="22"/>
        </w:rPr>
        <w:t xml:space="preserve"> increased in a greater than dose</w:t>
      </w:r>
      <w:r w:rsidRPr="0040771E">
        <w:rPr>
          <w:bCs/>
          <w:szCs w:val="22"/>
        </w:rPr>
        <w:noBreakHyphen/>
      </w:r>
      <w:r w:rsidRPr="0040771E">
        <w:rPr>
          <w:bCs/>
        </w:rPr>
        <w:t>proportional manner, consistent with target mediated drug disposition.</w:t>
      </w:r>
      <w:r w:rsidRPr="0040771E">
        <w:t xml:space="preserve"> Increases in AUC were more than dose</w:t>
      </w:r>
      <w:r w:rsidRPr="0040771E">
        <w:noBreakHyphen/>
        <w:t>proportional and clearance (CL) decreased with increasing dose. These observations suggest CD38 may become saturated at higher doses, after which the impact of target binding clearance is minimised and the clearance of daratumumab approximates the linear clearance of endogenous IgG1. Clearance also decreased with multiple doses, which may be related to tumour burden decreases.</w:t>
      </w:r>
    </w:p>
    <w:p w:rsidR="007E2BC7" w:rsidRPr="0040771E" w14:paraId="445827A5" w14:textId="77777777"/>
    <w:p w:rsidR="007E2BC7" w:rsidRPr="0040771E" w14:paraId="04F5B8DD" w14:textId="77777777">
      <w:r w:rsidRPr="0040771E">
        <w:t>Terminal half</w:t>
      </w:r>
      <w:r w:rsidRPr="0040771E">
        <w:noBreakHyphen/>
        <w:t>life increases with increasing dose and with repeated dosing. The mean (standard deviation [SD]) estimated terminal half</w:t>
      </w:r>
      <w:r w:rsidRPr="0040771E">
        <w:noBreakHyphen/>
        <w:t>life of daratumumab following the first 16 mg/kg dose was 9 (4.3) days. The estimated terminal half</w:t>
      </w:r>
      <w:r w:rsidRPr="0040771E">
        <w:noBreakHyphen/>
        <w:t>life of daratumumab following the last 16 mg/kg dose increased, but there are insufficient data for a reliable estimation. Based on population PK analysis, the mean (SD) half</w:t>
      </w:r>
      <w:r w:rsidRPr="0040771E">
        <w:noBreakHyphen/>
        <w:t>life associated with non</w:t>
      </w:r>
      <w:r w:rsidRPr="0040771E">
        <w:noBreakHyphen/>
        <w:t>specific linear elimination was approximately 18 (9) days; this is the terminal half</w:t>
      </w:r>
      <w:r w:rsidRPr="0040771E">
        <w:noBreakHyphen/>
        <w:t>life that can be expected upon complete saturation of target mediated clearance and repeat dosing of daratumumab.</w:t>
      </w:r>
    </w:p>
    <w:p w:rsidR="007E2BC7" w:rsidRPr="0040771E" w14:paraId="61C1BA8B" w14:textId="77777777"/>
    <w:p w:rsidR="007E2BC7" w:rsidRPr="0040771E" w14:paraId="601E528B" w14:textId="77777777">
      <w:r w:rsidRPr="0040771E">
        <w:t>At the end of weekly dosing for the recommended monotherapy schedule and dose of 16 mg/kg, the mean (SD) serum C</w:t>
      </w:r>
      <w:r w:rsidRPr="0040771E">
        <w:rPr>
          <w:vertAlign w:val="subscript"/>
        </w:rPr>
        <w:t>max</w:t>
      </w:r>
      <w:r w:rsidRPr="0040771E">
        <w:t xml:space="preserve"> value was 915 (410.3) micrograms/mL, approximately 2.9</w:t>
      </w:r>
      <w:r w:rsidRPr="0040771E">
        <w:noBreakHyphen/>
        <w:t>fold higher than following the first infusion. The mean (SD) predose (trough) serum concentration at the end of weekly dosing was 573 (331.5) micrograms/mL.</w:t>
      </w:r>
    </w:p>
    <w:p w:rsidR="007E2BC7" w:rsidRPr="0040771E" w14:paraId="0651757E" w14:textId="77777777"/>
    <w:p w:rsidR="007E2BC7" w:rsidRPr="0040771E" w14:paraId="7E1511D3" w14:textId="26F61C49">
      <w:r w:rsidRPr="0040771E">
        <w:t xml:space="preserve">Four population PK analyses were performed to describe the PK characteristics of daratumumab and to evaluate the influence of covariates on the disposition of daratumumab in patients with multiple myeloma; analysis 1 (n=223) in patients receiving </w:t>
      </w:r>
      <w:r w:rsidR="00E65908">
        <w:t>DARZALEX</w:t>
      </w:r>
      <w:r w:rsidRPr="0040771E">
        <w:t xml:space="preserve"> monotherapy while analysis 2 (n=694), analysis 3 (n=352) and analysis 4 (n=355) were conducted in patients with multiple myeloma that received daratumumab combination therapies. Analysis 2 included 694 patients (n=326 for lenalidomide-dexamethasone; n=246 for bortezomib-dexamethasone; n=99 for pomalidomide-dexamethasone; n=11 for bortezomib-melphalan-prednisone; and n=12 for bortezomib-thalidomide-dexamethasone), analysis 3 included 352 patients (bortezomib</w:t>
      </w:r>
      <w:r w:rsidRPr="0040771E">
        <w:noBreakHyphen/>
        <w:t>melphalan</w:t>
      </w:r>
      <w:r w:rsidRPr="0040771E">
        <w:noBreakHyphen/>
        <w:t>prednisone) and analysis 4 included 355 patients (lenalidomide-dexamethasone).</w:t>
      </w:r>
    </w:p>
    <w:p w:rsidR="007E2BC7" w:rsidRPr="0040771E" w14:paraId="0959CE8E" w14:textId="77777777"/>
    <w:p w:rsidR="007E2BC7" w:rsidRPr="0040771E" w14:paraId="5555DDA6" w14:textId="77777777">
      <w:r w:rsidRPr="0040771E">
        <w:t>Based on the population PK analysis of daratumumab monotherapy (analysis 1), daratumumab steady state is achieved approximately 5 months into the every 4</w:t>
      </w:r>
      <w:r w:rsidRPr="0040771E">
        <w:noBreakHyphen/>
        <w:t>week dosing period (by the 21</w:t>
      </w:r>
      <w:r w:rsidRPr="0040771E">
        <w:rPr>
          <w:vertAlign w:val="superscript"/>
        </w:rPr>
        <w:t>st</w:t>
      </w:r>
      <w:r w:rsidRPr="0040771E">
        <w:t xml:space="preserve"> infusion), and the mean (SD) ratio of C</w:t>
      </w:r>
      <w:r w:rsidRPr="0040771E">
        <w:rPr>
          <w:vertAlign w:val="subscript"/>
        </w:rPr>
        <w:t>max</w:t>
      </w:r>
      <w:r w:rsidRPr="0040771E">
        <w:t xml:space="preserve"> at steady</w:t>
      </w:r>
      <w:r w:rsidRPr="0040771E">
        <w:noBreakHyphen/>
        <w:t>state to C</w:t>
      </w:r>
      <w:r w:rsidRPr="0040771E">
        <w:rPr>
          <w:vertAlign w:val="subscript"/>
        </w:rPr>
        <w:t xml:space="preserve">max </w:t>
      </w:r>
      <w:r w:rsidRPr="0040771E">
        <w:t>after the first dose was 1.6 (0.5). The mean (SD) central volume of distribution is 56.98 (18.07) mL/kg.</w:t>
      </w:r>
    </w:p>
    <w:p w:rsidR="007E2BC7" w:rsidRPr="0040771E" w14:paraId="5A250EC2" w14:textId="77777777"/>
    <w:p w:rsidR="007E2BC7" w:rsidRPr="0040771E" w14:paraId="5AB40011" w14:textId="77777777">
      <w:bookmarkStart w:id="42" w:name="_Hlk517962170"/>
      <w:r w:rsidRPr="0040771E">
        <w:t>Three additional population PK analyses (analysis 2, analysis 3 and analysis 4) were conducted in patients with multiple myeloma that received daratumumab combination therapies</w:t>
      </w:r>
      <w:bookmarkEnd w:id="42"/>
      <w:r w:rsidRPr="0040771E">
        <w:t>. Daratumumab concentration</w:t>
      </w:r>
      <w:r w:rsidRPr="0040771E">
        <w:noBreakHyphen/>
        <w:t>time profiles were similar following the monotherapy and combination therapies. The mean estimated terminal half-life associated with linear clearance in combination therapy was approximately 15</w:t>
      </w:r>
      <w:r w:rsidRPr="0040771E">
        <w:noBreakHyphen/>
        <w:t>23 days.</w:t>
      </w:r>
    </w:p>
    <w:p w:rsidR="007E2BC7" w:rsidRPr="0040771E" w14:paraId="467372FA" w14:textId="77777777"/>
    <w:p w:rsidR="007E2BC7" w:rsidRPr="0040771E" w14:paraId="560EC2C0" w14:textId="77777777">
      <w:r w:rsidRPr="0040771E">
        <w:t>Based on the four population PK analyses (analyses 1-4) body weight was identified as a statistically significant covariate for daratumumab clearance. Therefore, body weight based dosing is an appropriate dosing strategy for the multiple myeloma patients.</w:t>
      </w:r>
    </w:p>
    <w:p w:rsidR="007E2BC7" w:rsidRPr="0040771E" w14:paraId="0F52291A" w14:textId="77777777"/>
    <w:p w:rsidR="007E2BC7" w:rsidRPr="0040771E" w14:paraId="5DFF8CC1" w14:textId="6F2D0AA9">
      <w:bookmarkStart w:id="43" w:name="_Hlk527366132"/>
      <w:r w:rsidRPr="0040771E">
        <w:t>Simulation of daratumumab pharmacokinetics was conducted for all recommended dosing schedules in 1309 patients with multiple myeloma</w:t>
      </w:r>
      <w:bookmarkEnd w:id="43"/>
      <w:r w:rsidRPr="0040771E">
        <w:t>. The simulation results confirmed that the split and single dosing for the first dose provide similar PK, with the exception of the PK profile in the first day of the treatment.</w:t>
      </w:r>
    </w:p>
    <w:p w:rsidR="007E2BC7" w:rsidRPr="0040771E" w14:paraId="2FC7BECD" w14:textId="77777777"/>
    <w:p w:rsidR="007E2BC7" w:rsidRPr="0040771E" w14:paraId="1CEF8D86" w14:textId="77777777">
      <w:pPr>
        <w:keepNext/>
        <w:outlineLvl w:val="2"/>
        <w:rPr>
          <w:u w:val="single"/>
        </w:rPr>
      </w:pPr>
      <w:r w:rsidRPr="0040771E">
        <w:rPr>
          <w:u w:val="single"/>
        </w:rPr>
        <w:t>Special populations</w:t>
      </w:r>
    </w:p>
    <w:p w:rsidR="007E2BC7" w:rsidRPr="0040771E" w14:paraId="2D15195C" w14:textId="77777777">
      <w:pPr>
        <w:keepNext/>
        <w:outlineLvl w:val="3"/>
        <w:rPr>
          <w:i/>
        </w:rPr>
      </w:pPr>
      <w:r w:rsidRPr="0040771E">
        <w:rPr>
          <w:i/>
        </w:rPr>
        <w:t>Age and gender</w:t>
      </w:r>
    </w:p>
    <w:p w:rsidR="007E2BC7" w:rsidRPr="0040771E" w14:paraId="1D7AA36F" w14:textId="77777777">
      <w:r w:rsidRPr="0040771E">
        <w:t>Based on four individual population PK analyses (1-4) in patients receiving daratumumab monotherapy or various combination therapies (analyses 1-4), age (range: 31</w:t>
      </w:r>
      <w:r w:rsidRPr="0040771E">
        <w:noBreakHyphen/>
        <w:t>93 years) had no clinically important effect on the PK of daratumumab, and the exposure of daratumumab was similar between younger (aged &lt;65 years, n=518) and older (aged ≥65 to &lt;75 years n=761; aged ≥75 years, n=334) patients.</w:t>
      </w:r>
    </w:p>
    <w:p w:rsidR="007E2BC7" w:rsidRPr="0040771E" w14:paraId="04DC97F8" w14:textId="77777777"/>
    <w:p w:rsidR="007E2BC7" w:rsidRPr="0040771E" w14:paraId="1DBEB2E1" w14:textId="77777777">
      <w:r w:rsidRPr="0040771E">
        <w:t>Gender did not affect exposure of daratumumab to a clinically relevant degree in the population PK analyses.</w:t>
      </w:r>
    </w:p>
    <w:p w:rsidR="007E2BC7" w:rsidRPr="0040771E" w14:paraId="37E1148A" w14:textId="77777777">
      <w:pPr>
        <w:rPr>
          <w:i/>
        </w:rPr>
      </w:pPr>
    </w:p>
    <w:p w:rsidR="007E2BC7" w:rsidRPr="0040771E" w14:paraId="50DDD1D1" w14:textId="77777777">
      <w:pPr>
        <w:keepNext/>
        <w:outlineLvl w:val="3"/>
        <w:rPr>
          <w:i/>
        </w:rPr>
      </w:pPr>
      <w:r w:rsidRPr="0040771E">
        <w:rPr>
          <w:i/>
        </w:rPr>
        <w:t>Renal impairment</w:t>
      </w:r>
    </w:p>
    <w:p w:rsidR="007E2BC7" w:rsidRPr="0040771E" w14:paraId="68C7170A" w14:textId="77777777">
      <w:r w:rsidRPr="0040771E">
        <w:rPr>
          <w:iCs/>
        </w:rPr>
        <w:t>No formal studies of daratumumab in patients with renal impairment have been conducted</w:t>
      </w:r>
      <w:r w:rsidRPr="0040771E">
        <w:t>. Four individual population PK analyses were performed based on pre</w:t>
      </w:r>
      <w:r w:rsidRPr="0040771E">
        <w:noBreakHyphen/>
        <w:t>existing renal function data in patients receiving daratumumab monotherapy, or various combination therapies (Analyses 1-4), and included a total of 441 patients with normal renal function (creatinine clearance [CRCL] ≥90 mL/min), 621 with mild renal impairment (CRCL &lt; 90 and ≥60 mL/min), 523 with moderate renal impairment (CRCL &lt; 60 and ≥30 mL/min), and 27 with severe renal impairment or end stage renal disease (CRCL &lt;30 mL/min). No clinically important differences in exposure to daratumumab were observed between patients with renal impairment and those with normal renal function.</w:t>
      </w:r>
    </w:p>
    <w:p w:rsidR="007E2BC7" w:rsidRPr="0040771E" w14:paraId="38CBCBDA" w14:textId="77777777">
      <w:pPr>
        <w:rPr>
          <w:i/>
        </w:rPr>
      </w:pPr>
    </w:p>
    <w:p w:rsidR="007E2BC7" w:rsidRPr="0040771E" w14:paraId="7D582F47" w14:textId="77777777">
      <w:pPr>
        <w:keepNext/>
        <w:outlineLvl w:val="3"/>
        <w:rPr>
          <w:i/>
        </w:rPr>
      </w:pPr>
      <w:r w:rsidRPr="0040771E">
        <w:rPr>
          <w:i/>
        </w:rPr>
        <w:t>Hepatic impairment</w:t>
      </w:r>
    </w:p>
    <w:p w:rsidR="007E2BC7" w:rsidRPr="0040771E" w14:paraId="3B1AA2C4" w14:textId="77777777">
      <w:pPr>
        <w:autoSpaceDE w:val="0"/>
        <w:autoSpaceDN w:val="0"/>
        <w:adjustRightInd w:val="0"/>
        <w:rPr>
          <w:iCs/>
        </w:rPr>
      </w:pPr>
      <w:r w:rsidRPr="0040771E">
        <w:rPr>
          <w:iCs/>
        </w:rPr>
        <w:t>No formal studies of daratumumab in patients with hepatic impairment have been conducted</w:t>
      </w:r>
      <w:r w:rsidRPr="0040771E">
        <w:t xml:space="preserve">. </w:t>
      </w:r>
      <w:r w:rsidRPr="0040771E">
        <w:rPr>
          <w:iCs/>
        </w:rPr>
        <w:t>Changes in hepatic function are unlikely to have any effect on the elimination of daratumumab</w:t>
      </w:r>
      <w:r w:rsidRPr="0040771E">
        <w:rPr>
          <w:iCs/>
          <w:szCs w:val="24"/>
        </w:rPr>
        <w:t xml:space="preserve"> since </w:t>
      </w:r>
      <w:r w:rsidRPr="0040771E">
        <w:rPr>
          <w:iCs/>
        </w:rPr>
        <w:t>IgG1 molecules such as daratumumab are not metabolised through hepatic pathways.</w:t>
      </w:r>
    </w:p>
    <w:p w:rsidR="007E2BC7" w:rsidRPr="0040771E" w14:paraId="07E3094E" w14:textId="77777777">
      <w:pPr>
        <w:autoSpaceDE w:val="0"/>
        <w:autoSpaceDN w:val="0"/>
        <w:adjustRightInd w:val="0"/>
        <w:rPr>
          <w:i/>
          <w:iCs/>
          <w:szCs w:val="22"/>
        </w:rPr>
      </w:pPr>
      <w:r w:rsidRPr="0040771E">
        <w:t xml:space="preserve">Four individual </w:t>
      </w:r>
      <w:r w:rsidRPr="0040771E">
        <w:rPr>
          <w:iCs/>
        </w:rPr>
        <w:t>population PK analyses were performed in patients receiving daratumumab monotherapy or various combination therapies (Analyses 1-4), and included a total of 1404</w:t>
      </w:r>
      <w:r w:rsidRPr="0040771E">
        <w:t> patients with normal hepatic function (total bilirubin [TB] and aspartate aminotransferase [AST]</w:t>
      </w:r>
      <w:r w:rsidRPr="0040771E">
        <w:rPr>
          <w:iCs/>
        </w:rPr>
        <w:t> ≤ </w:t>
      </w:r>
      <w:r w:rsidRPr="0040771E">
        <w:t>upper limit of normal [ULN]), 189 with mild hepatic impairment (TB 1.0 x to 1.5 x</w:t>
      </w:r>
      <w:r w:rsidRPr="0040771E">
        <w:rPr>
          <w:iCs/>
        </w:rPr>
        <w:t> </w:t>
      </w:r>
      <w:r w:rsidRPr="0040771E">
        <w:t>ULN</w:t>
      </w:r>
      <w:r w:rsidRPr="0040771E">
        <w:rPr>
          <w:iCs/>
        </w:rPr>
        <w:t> </w:t>
      </w:r>
      <w:r w:rsidRPr="0040771E">
        <w:t>or AST &gt;ULN</w:t>
      </w:r>
      <w:r w:rsidRPr="0040771E">
        <w:rPr>
          <w:iCs/>
        </w:rPr>
        <w:t>)</w:t>
      </w:r>
      <w:r w:rsidRPr="0040771E">
        <w:t xml:space="preserve"> and 8 patients with moderate (TB &gt; 1.5 x to 3.0 x ULN; n=7), or severe (TB &gt; 3.0 x ULN; n=1) hepatic impairment. No clinically important differences in the exposure to daratumumab were observed between patients with hepatic impairment and those with normal hepatic function.</w:t>
      </w:r>
    </w:p>
    <w:p w:rsidR="007E2BC7" w:rsidRPr="0040771E" w14:paraId="2BE8AF7B" w14:textId="77777777"/>
    <w:p w:rsidR="007E2BC7" w:rsidRPr="0040771E" w14:paraId="18A0D9BA" w14:textId="77777777">
      <w:pPr>
        <w:keepNext/>
        <w:outlineLvl w:val="3"/>
        <w:rPr>
          <w:i/>
        </w:rPr>
      </w:pPr>
      <w:r w:rsidRPr="0040771E">
        <w:rPr>
          <w:i/>
        </w:rPr>
        <w:t>Race</w:t>
      </w:r>
    </w:p>
    <w:p w:rsidR="007E2BC7" w:rsidRPr="0040771E" w14:paraId="6DCD7874" w14:textId="77777777">
      <w:r w:rsidRPr="0040771E">
        <w:t>Based on four individual population PK analyses in patients receiving either daratumumab monotherapy or various combination therapies (analyses 1-4), the exposure to daratumumab was similar between white (n=1371) and non</w:t>
      </w:r>
      <w:r w:rsidRPr="0040771E">
        <w:noBreakHyphen/>
        <w:t>white subjects (n=242).</w:t>
      </w:r>
    </w:p>
    <w:p w:rsidR="007E2BC7" w:rsidRPr="0040771E" w14:paraId="7E92E9B5" w14:textId="77777777"/>
    <w:p w:rsidR="007E2BC7" w:rsidRPr="0040771E" w14:paraId="651CB06D" w14:textId="77777777">
      <w:pPr>
        <w:keepNext/>
        <w:ind w:left="567" w:hanging="567"/>
        <w:outlineLvl w:val="1"/>
        <w:rPr>
          <w:b/>
          <w:bCs/>
          <w:szCs w:val="22"/>
        </w:rPr>
      </w:pPr>
      <w:r w:rsidRPr="0040771E">
        <w:rPr>
          <w:b/>
          <w:bCs/>
          <w:szCs w:val="22"/>
        </w:rPr>
        <w:t>5.3</w:t>
      </w:r>
      <w:r w:rsidRPr="0040771E">
        <w:rPr>
          <w:b/>
          <w:bCs/>
          <w:szCs w:val="22"/>
        </w:rPr>
        <w:tab/>
        <w:t>Preclinical safety data</w:t>
      </w:r>
    </w:p>
    <w:p w:rsidR="007E2BC7" w:rsidRPr="0040771E" w14:paraId="18A92030" w14:textId="77777777">
      <w:pPr>
        <w:keepNext/>
        <w:rPr>
          <w:szCs w:val="22"/>
        </w:rPr>
      </w:pPr>
    </w:p>
    <w:p w:rsidR="007E2BC7" w:rsidRPr="0040771E" w14:paraId="2B449C11" w14:textId="77777777">
      <w:pPr>
        <w:rPr>
          <w:szCs w:val="22"/>
        </w:rPr>
      </w:pPr>
      <w:r w:rsidRPr="0040771E">
        <w:rPr>
          <w:szCs w:val="22"/>
        </w:rPr>
        <w:t>Toxicology data have been derived from studies with daratumumab in chimpanzees and with a surrogate anti</w:t>
      </w:r>
      <w:r w:rsidRPr="0040771E">
        <w:rPr>
          <w:szCs w:val="22"/>
        </w:rPr>
        <w:noBreakHyphen/>
        <w:t>CD38 antibody in cynomolgus monkeys. No chronic toxicity testing has been conducted.</w:t>
      </w:r>
    </w:p>
    <w:p w:rsidR="007E2BC7" w:rsidRPr="0040771E" w14:paraId="02240EB9" w14:textId="77777777"/>
    <w:p w:rsidR="007E2BC7" w:rsidRPr="0040771E" w14:paraId="3C557AD1" w14:textId="77777777">
      <w:pPr>
        <w:keepNext/>
        <w:outlineLvl w:val="2"/>
        <w:rPr>
          <w:szCs w:val="22"/>
          <w:u w:val="single"/>
        </w:rPr>
      </w:pPr>
      <w:r w:rsidRPr="0040771E">
        <w:rPr>
          <w:szCs w:val="22"/>
          <w:u w:val="single"/>
        </w:rPr>
        <w:t>Carcinogenicity and mutagenicity</w:t>
      </w:r>
    </w:p>
    <w:p w:rsidR="007E2BC7" w:rsidRPr="0040771E" w14:paraId="365572D4" w14:textId="77777777">
      <w:pPr>
        <w:rPr>
          <w:szCs w:val="22"/>
        </w:rPr>
      </w:pPr>
      <w:r w:rsidRPr="0040771E">
        <w:rPr>
          <w:szCs w:val="22"/>
        </w:rPr>
        <w:t>No animal studies have been performed to establish the carcinogenic potential of daratumumab.</w:t>
      </w:r>
    </w:p>
    <w:p w:rsidR="007E2BC7" w:rsidRPr="0040771E" w14:paraId="072303C3" w14:textId="77777777">
      <w:pPr>
        <w:rPr>
          <w:szCs w:val="22"/>
        </w:rPr>
      </w:pPr>
    </w:p>
    <w:p w:rsidR="007E2BC7" w:rsidRPr="0040771E" w14:paraId="65541406" w14:textId="77777777">
      <w:pPr>
        <w:keepNext/>
        <w:outlineLvl w:val="2"/>
        <w:rPr>
          <w:szCs w:val="22"/>
          <w:u w:val="single"/>
        </w:rPr>
      </w:pPr>
      <w:r w:rsidRPr="0040771E">
        <w:rPr>
          <w:szCs w:val="22"/>
          <w:u w:val="single"/>
        </w:rPr>
        <w:t>Reproductive toxicology</w:t>
      </w:r>
    </w:p>
    <w:p w:rsidR="007E2BC7" w:rsidRPr="0040771E" w14:paraId="65910F42" w14:textId="77777777">
      <w:pPr>
        <w:rPr>
          <w:szCs w:val="22"/>
        </w:rPr>
      </w:pPr>
      <w:r w:rsidRPr="0040771E">
        <w:rPr>
          <w:szCs w:val="22"/>
        </w:rPr>
        <w:t>No animal studies have been performed to evaluate the potential effects of daratumumab on reproduction or development.</w:t>
      </w:r>
    </w:p>
    <w:p w:rsidR="007E2BC7" w:rsidRPr="0040771E" w14:paraId="09033218" w14:textId="77777777"/>
    <w:p w:rsidR="007E2BC7" w:rsidRPr="0040771E" w14:paraId="5AA57166" w14:textId="77777777">
      <w:pPr>
        <w:keepNext/>
        <w:outlineLvl w:val="2"/>
        <w:rPr>
          <w:szCs w:val="22"/>
          <w:u w:val="single"/>
        </w:rPr>
      </w:pPr>
      <w:r w:rsidRPr="0040771E">
        <w:rPr>
          <w:szCs w:val="22"/>
          <w:u w:val="single"/>
        </w:rPr>
        <w:t>Fertility</w:t>
      </w:r>
    </w:p>
    <w:p w:rsidR="007E2BC7" w:rsidRPr="0040771E" w14:paraId="17FC361E" w14:textId="77777777">
      <w:pPr>
        <w:rPr>
          <w:szCs w:val="22"/>
        </w:rPr>
      </w:pPr>
      <w:r w:rsidRPr="0040771E">
        <w:rPr>
          <w:szCs w:val="22"/>
        </w:rPr>
        <w:t>No animal studies have been performed to determine potential effects on fertility in males or females.</w:t>
      </w:r>
    </w:p>
    <w:p w:rsidR="007E2BC7" w:rsidRPr="0040771E" w14:paraId="41B4CB21" w14:textId="77777777">
      <w:pPr>
        <w:rPr>
          <w:szCs w:val="22"/>
        </w:rPr>
      </w:pPr>
    </w:p>
    <w:p w:rsidR="007E2BC7" w:rsidRPr="0040771E" w14:paraId="4FE18D99" w14:textId="77777777">
      <w:pPr>
        <w:rPr>
          <w:szCs w:val="22"/>
        </w:rPr>
      </w:pPr>
    </w:p>
    <w:p w:rsidR="007E2BC7" w:rsidRPr="0040771E" w14:paraId="1B0213E8" w14:textId="77777777">
      <w:pPr>
        <w:keepNext/>
        <w:ind w:left="567" w:hanging="567"/>
        <w:outlineLvl w:val="0"/>
        <w:rPr>
          <w:b/>
          <w:bCs/>
          <w:szCs w:val="22"/>
        </w:rPr>
      </w:pPr>
      <w:r w:rsidRPr="0040771E">
        <w:rPr>
          <w:b/>
          <w:bCs/>
          <w:szCs w:val="22"/>
        </w:rPr>
        <w:t>6.</w:t>
      </w:r>
      <w:r w:rsidRPr="0040771E">
        <w:rPr>
          <w:b/>
          <w:bCs/>
          <w:szCs w:val="22"/>
        </w:rPr>
        <w:tab/>
        <w:t>PHARMACEUTICAL PARTICULARS</w:t>
      </w:r>
    </w:p>
    <w:p w:rsidR="007E2BC7" w:rsidRPr="0040771E" w14:paraId="39C25F48" w14:textId="77777777">
      <w:pPr>
        <w:keepNext/>
        <w:rPr>
          <w:szCs w:val="22"/>
        </w:rPr>
      </w:pPr>
    </w:p>
    <w:p w:rsidR="007E2BC7" w:rsidRPr="0040771E" w14:paraId="70CE293E" w14:textId="77777777">
      <w:pPr>
        <w:keepNext/>
        <w:ind w:left="567" w:hanging="567"/>
        <w:outlineLvl w:val="1"/>
        <w:rPr>
          <w:b/>
          <w:bCs/>
          <w:szCs w:val="22"/>
        </w:rPr>
      </w:pPr>
      <w:r w:rsidRPr="0040771E">
        <w:rPr>
          <w:b/>
          <w:bCs/>
          <w:szCs w:val="22"/>
        </w:rPr>
        <w:t>6.1</w:t>
      </w:r>
      <w:r w:rsidRPr="0040771E">
        <w:rPr>
          <w:b/>
          <w:bCs/>
          <w:szCs w:val="22"/>
        </w:rPr>
        <w:tab/>
        <w:t>List of excipients</w:t>
      </w:r>
    </w:p>
    <w:p w:rsidR="007E2BC7" w:rsidRPr="0040771E" w14:paraId="3011126E" w14:textId="77777777">
      <w:pPr>
        <w:keepNext/>
      </w:pPr>
    </w:p>
    <w:p w:rsidR="001B3A36" w:rsidRPr="00E0415D" w:rsidP="001B3A36" w14:paraId="5928A646" w14:textId="70DFF5D1">
      <w:pPr>
        <w:rPr>
          <w:szCs w:val="22"/>
          <w:lang w:bidi="he-IL"/>
        </w:rPr>
      </w:pPr>
      <w:r w:rsidRPr="008B2C0B">
        <w:t>Sorbitol</w:t>
      </w:r>
      <w:r>
        <w:t xml:space="preserve"> </w:t>
      </w:r>
    </w:p>
    <w:p w:rsidR="001B3A36" w:rsidP="001B3A36" w14:paraId="3DFEA72C" w14:textId="77777777">
      <w:r w:rsidRPr="00E9649C">
        <w:t>L-histidine hydrochloride monohydrate</w:t>
      </w:r>
    </w:p>
    <w:p w:rsidR="001B3A36" w:rsidP="001B3A36" w14:paraId="6D601E3F" w14:textId="77777777">
      <w:r w:rsidRPr="00E9649C">
        <w:t>L-methionine</w:t>
      </w:r>
    </w:p>
    <w:p w:rsidR="007E2BC7" w:rsidRPr="00BF56D5" w14:paraId="6D272A45" w14:textId="59D88D99">
      <w:pPr>
        <w:rPr>
          <w:szCs w:val="22"/>
          <w:rtl/>
          <w:lang w:val="en-US" w:bidi="he-IL"/>
        </w:rPr>
      </w:pPr>
      <w:r w:rsidRPr="0040771E">
        <w:rPr>
          <w:szCs w:val="22"/>
        </w:rPr>
        <w:t>Polysorbate 20</w:t>
      </w:r>
    </w:p>
    <w:p w:rsidR="002A131A" w:rsidP="002A131A" w14:paraId="337E7E53" w14:textId="77777777">
      <w:r w:rsidRPr="00E9649C">
        <w:t>L-histidine</w:t>
      </w:r>
    </w:p>
    <w:p w:rsidR="007E2BC7" w:rsidRPr="0040771E" w14:paraId="5B385517" w14:textId="77777777">
      <w:pPr>
        <w:rPr>
          <w:szCs w:val="22"/>
        </w:rPr>
      </w:pPr>
      <w:r w:rsidRPr="0040771E">
        <w:rPr>
          <w:szCs w:val="22"/>
        </w:rPr>
        <w:t>Water for injections</w:t>
      </w:r>
    </w:p>
    <w:p w:rsidR="007E2BC7" w:rsidRPr="0040771E" w14:paraId="1B25409A" w14:textId="77777777">
      <w:pPr>
        <w:rPr>
          <w:szCs w:val="22"/>
        </w:rPr>
      </w:pPr>
    </w:p>
    <w:p w:rsidR="007E2BC7" w:rsidRPr="0040771E" w14:paraId="7F2C2756" w14:textId="77777777">
      <w:pPr>
        <w:keepNext/>
        <w:ind w:left="567" w:hanging="567"/>
        <w:outlineLvl w:val="1"/>
        <w:rPr>
          <w:b/>
          <w:bCs/>
          <w:szCs w:val="22"/>
        </w:rPr>
      </w:pPr>
      <w:r w:rsidRPr="0040771E">
        <w:rPr>
          <w:b/>
          <w:bCs/>
          <w:szCs w:val="22"/>
        </w:rPr>
        <w:t>6.2</w:t>
      </w:r>
      <w:r w:rsidRPr="0040771E">
        <w:rPr>
          <w:b/>
          <w:bCs/>
          <w:szCs w:val="22"/>
        </w:rPr>
        <w:tab/>
        <w:t>Incompatibilities</w:t>
      </w:r>
    </w:p>
    <w:p w:rsidR="007E2BC7" w:rsidRPr="0040771E" w14:paraId="5BEE14D0" w14:textId="77777777">
      <w:pPr>
        <w:keepNext/>
        <w:rPr>
          <w:szCs w:val="22"/>
        </w:rPr>
      </w:pPr>
    </w:p>
    <w:p w:rsidR="007E2BC7" w:rsidRPr="0040771E" w14:paraId="57A15218" w14:textId="77777777">
      <w:pPr>
        <w:rPr>
          <w:szCs w:val="22"/>
        </w:rPr>
      </w:pPr>
      <w:r w:rsidRPr="0040771E">
        <w:rPr>
          <w:szCs w:val="22"/>
        </w:rPr>
        <w:t>This medicinal product must not be mixed with other medicinal products except those mentioned in section 6.6.</w:t>
      </w:r>
    </w:p>
    <w:p w:rsidR="007E2BC7" w:rsidRPr="0040771E" w14:paraId="62D73716" w14:textId="77777777">
      <w:pPr>
        <w:rPr>
          <w:szCs w:val="22"/>
        </w:rPr>
      </w:pPr>
    </w:p>
    <w:p w:rsidR="007E2BC7" w:rsidRPr="0040771E" w14:paraId="7569350F" w14:textId="77777777">
      <w:pPr>
        <w:keepNext/>
        <w:ind w:left="567" w:hanging="567"/>
        <w:outlineLvl w:val="1"/>
        <w:rPr>
          <w:b/>
          <w:bCs/>
          <w:szCs w:val="22"/>
        </w:rPr>
      </w:pPr>
      <w:r w:rsidRPr="0040771E">
        <w:rPr>
          <w:b/>
          <w:bCs/>
          <w:szCs w:val="22"/>
        </w:rPr>
        <w:t>6.3</w:t>
      </w:r>
      <w:r w:rsidRPr="0040771E">
        <w:rPr>
          <w:b/>
          <w:bCs/>
          <w:szCs w:val="22"/>
        </w:rPr>
        <w:tab/>
        <w:t>Shelf life</w:t>
      </w:r>
    </w:p>
    <w:p w:rsidR="007E2BC7" w:rsidRPr="0040771E" w14:paraId="60257A22" w14:textId="77777777">
      <w:pPr>
        <w:keepNext/>
        <w:rPr>
          <w:szCs w:val="22"/>
        </w:rPr>
      </w:pPr>
    </w:p>
    <w:p w:rsidR="007E2BC7" w:rsidRPr="0040771E" w14:paraId="18CB4398" w14:textId="77777777">
      <w:pPr>
        <w:keepNext/>
        <w:outlineLvl w:val="2"/>
        <w:rPr>
          <w:szCs w:val="22"/>
          <w:u w:val="single"/>
        </w:rPr>
      </w:pPr>
      <w:r w:rsidRPr="0040771E">
        <w:rPr>
          <w:szCs w:val="22"/>
          <w:u w:val="single"/>
        </w:rPr>
        <w:t>Unopened vials</w:t>
      </w:r>
    </w:p>
    <w:p w:rsidR="007E2BC7" w:rsidRPr="0040771E" w14:paraId="48ECDE82" w14:textId="77777777">
      <w:pPr>
        <w:rPr>
          <w:szCs w:val="22"/>
          <w:lang w:val="en-US"/>
        </w:rPr>
      </w:pPr>
      <w:r w:rsidRPr="0040771E">
        <w:rPr>
          <w:rFonts w:eastAsia="SimSun"/>
          <w:noProof w:val="0"/>
          <w:szCs w:val="22"/>
          <w:lang w:val="en-US" w:bidi="he-IL"/>
        </w:rPr>
        <w:t xml:space="preserve"> The expiry date of the product is indicated on the packaging materials</w:t>
      </w:r>
      <w:r w:rsidRPr="0040771E">
        <w:rPr>
          <w:szCs w:val="22"/>
          <w:lang w:val="en-US"/>
        </w:rPr>
        <w:t>.</w:t>
      </w:r>
    </w:p>
    <w:p w:rsidR="007E2BC7" w:rsidRPr="0040771E" w14:paraId="4220F539" w14:textId="77777777">
      <w:pPr>
        <w:rPr>
          <w:szCs w:val="22"/>
        </w:rPr>
      </w:pPr>
    </w:p>
    <w:p w:rsidR="007E2BC7" w:rsidRPr="0040771E" w14:paraId="056C56F0" w14:textId="77777777">
      <w:pPr>
        <w:keepNext/>
        <w:outlineLvl w:val="2"/>
        <w:rPr>
          <w:szCs w:val="22"/>
          <w:u w:val="single"/>
        </w:rPr>
      </w:pPr>
      <w:r w:rsidRPr="0040771E">
        <w:rPr>
          <w:szCs w:val="22"/>
          <w:u w:val="single"/>
        </w:rPr>
        <w:t>After dilution</w:t>
      </w:r>
    </w:p>
    <w:p w:rsidR="007E2BC7" w:rsidRPr="0040771E" w14:paraId="284FF6C0" w14:textId="77777777">
      <w:pPr>
        <w:rPr>
          <w:color w:val="000000"/>
          <w:szCs w:val="22"/>
        </w:rPr>
      </w:pPr>
      <w:r w:rsidRPr="0040771E">
        <w:rPr>
          <w:szCs w:val="22"/>
        </w:rPr>
        <w:t>From a microbiological point of view, unless the method of opening/ dilution precludes the risk of microbial contamination, the product should be used immediately. If not used immediately, in</w:t>
      </w:r>
      <w:r w:rsidRPr="0040771E">
        <w:rPr>
          <w:szCs w:val="22"/>
        </w:rPr>
        <w:noBreakHyphen/>
        <w:t>use storage times and conditions are the responsibility of the user and should be no more than 24 hours at refrigerated conditions (2°C</w:t>
      </w:r>
      <w:r w:rsidRPr="0040771E">
        <w:rPr>
          <w:szCs w:val="22"/>
        </w:rPr>
        <w:noBreakHyphen/>
        <w:t>8°C) protected from light, followed by 15 hours (including infusion time) at room temperature (15°C</w:t>
      </w:r>
      <w:r w:rsidRPr="0040771E">
        <w:rPr>
          <w:szCs w:val="22"/>
        </w:rPr>
        <w:noBreakHyphen/>
        <w:t xml:space="preserve">25°C) and room light. </w:t>
      </w:r>
      <w:r w:rsidRPr="0040771E">
        <w:rPr>
          <w:color w:val="000000"/>
          <w:szCs w:val="22"/>
        </w:rPr>
        <w:t>If stored in the refrigerator, allow the solution to reach ambient temperature before administration.</w:t>
      </w:r>
    </w:p>
    <w:p w:rsidR="007E2BC7" w:rsidRPr="0040771E" w14:paraId="1EB9FB1E" w14:textId="77777777">
      <w:pPr>
        <w:rPr>
          <w:color w:val="000000"/>
          <w:szCs w:val="22"/>
        </w:rPr>
      </w:pPr>
    </w:p>
    <w:p w:rsidR="007E2BC7" w:rsidRPr="0040771E" w14:paraId="5FE37FCB" w14:textId="77777777">
      <w:pPr>
        <w:rPr>
          <w:szCs w:val="22"/>
        </w:rPr>
      </w:pPr>
    </w:p>
    <w:p w:rsidR="007E2BC7" w:rsidRPr="0040771E" w14:paraId="35AA7D0B" w14:textId="77777777">
      <w:pPr>
        <w:rPr>
          <w:szCs w:val="22"/>
        </w:rPr>
      </w:pPr>
    </w:p>
    <w:p w:rsidR="007E2BC7" w:rsidRPr="0040771E" w14:paraId="688BD0DB" w14:textId="77777777">
      <w:pPr>
        <w:keepNext/>
        <w:ind w:left="567" w:hanging="567"/>
        <w:outlineLvl w:val="1"/>
        <w:rPr>
          <w:b/>
          <w:szCs w:val="22"/>
        </w:rPr>
      </w:pPr>
      <w:r w:rsidRPr="0040771E">
        <w:rPr>
          <w:b/>
          <w:szCs w:val="22"/>
        </w:rPr>
        <w:t>6.4</w:t>
      </w:r>
      <w:r w:rsidRPr="0040771E">
        <w:rPr>
          <w:b/>
          <w:szCs w:val="22"/>
        </w:rPr>
        <w:tab/>
        <w:t>Special precautions for storage</w:t>
      </w:r>
    </w:p>
    <w:p w:rsidR="007E2BC7" w:rsidRPr="0040771E" w14:paraId="56D854CC" w14:textId="77777777">
      <w:pPr>
        <w:keepNext/>
      </w:pPr>
    </w:p>
    <w:p w:rsidR="007E2BC7" w:rsidRPr="0040771E" w14:paraId="4439FDE3" w14:textId="77777777">
      <w:pPr>
        <w:rPr>
          <w:szCs w:val="22"/>
        </w:rPr>
      </w:pPr>
      <w:r w:rsidRPr="0040771E">
        <w:rPr>
          <w:szCs w:val="22"/>
        </w:rPr>
        <w:t>Store in a refrigerator (2°C</w:t>
      </w:r>
      <w:r w:rsidRPr="0040771E">
        <w:rPr>
          <w:szCs w:val="22"/>
        </w:rPr>
        <w:noBreakHyphen/>
        <w:t>8°C).</w:t>
      </w:r>
    </w:p>
    <w:p w:rsidR="007E2BC7" w:rsidRPr="0040771E" w14:paraId="7FCDB6E4" w14:textId="77777777">
      <w:pPr>
        <w:rPr>
          <w:szCs w:val="22"/>
        </w:rPr>
      </w:pPr>
      <w:r w:rsidRPr="0040771E">
        <w:rPr>
          <w:szCs w:val="22"/>
        </w:rPr>
        <w:t>Do not freeze or shake .</w:t>
      </w:r>
    </w:p>
    <w:p w:rsidR="007E2BC7" w:rsidRPr="0040771E" w14:paraId="11EE4955" w14:textId="77777777">
      <w:pPr>
        <w:rPr>
          <w:szCs w:val="22"/>
        </w:rPr>
      </w:pPr>
      <w:r w:rsidRPr="0040771E">
        <w:rPr>
          <w:szCs w:val="22"/>
        </w:rPr>
        <w:t>Store in the original package in order to protect from light.</w:t>
      </w:r>
    </w:p>
    <w:p w:rsidR="007E2BC7" w:rsidRPr="0040771E" w14:paraId="7D800922" w14:textId="77777777">
      <w:pPr>
        <w:rPr>
          <w:szCs w:val="22"/>
        </w:rPr>
      </w:pPr>
    </w:p>
    <w:p w:rsidR="007E2BC7" w:rsidRPr="0040771E" w14:paraId="33EB5397" w14:textId="77777777">
      <w:pPr>
        <w:rPr>
          <w:szCs w:val="22"/>
        </w:rPr>
      </w:pPr>
      <w:r w:rsidRPr="0040771E">
        <w:rPr>
          <w:szCs w:val="22"/>
        </w:rPr>
        <w:t>For storage conditions after dilution of the medicinal product, see section 6.3.</w:t>
      </w:r>
    </w:p>
    <w:p w:rsidR="007E2BC7" w:rsidRPr="0040771E" w14:paraId="65F2939B" w14:textId="77777777">
      <w:pPr>
        <w:rPr>
          <w:szCs w:val="22"/>
        </w:rPr>
      </w:pPr>
    </w:p>
    <w:p w:rsidR="007E2BC7" w:rsidRPr="0040771E" w14:paraId="261593A7" w14:textId="77777777">
      <w:pPr>
        <w:keepNext/>
        <w:ind w:left="567" w:hanging="567"/>
        <w:outlineLvl w:val="1"/>
        <w:rPr>
          <w:b/>
          <w:bCs/>
          <w:szCs w:val="22"/>
        </w:rPr>
      </w:pPr>
      <w:r w:rsidRPr="0040771E">
        <w:rPr>
          <w:b/>
          <w:bCs/>
          <w:szCs w:val="22"/>
        </w:rPr>
        <w:t>6.5</w:t>
      </w:r>
      <w:r w:rsidRPr="0040771E">
        <w:rPr>
          <w:b/>
          <w:bCs/>
          <w:szCs w:val="22"/>
        </w:rPr>
        <w:tab/>
        <w:t>Nature and contents of container</w:t>
      </w:r>
    </w:p>
    <w:p w:rsidR="007E2BC7" w:rsidRPr="0040771E" w14:paraId="24CE2830" w14:textId="77777777">
      <w:pPr>
        <w:keepNext/>
        <w:rPr>
          <w:szCs w:val="22"/>
        </w:rPr>
      </w:pPr>
    </w:p>
    <w:p w:rsidR="007E2BC7" w:rsidRPr="0040771E" w14:paraId="13E88DF6" w14:textId="77777777">
      <w:pPr>
        <w:rPr>
          <w:szCs w:val="22"/>
        </w:rPr>
      </w:pPr>
      <w:r w:rsidRPr="0040771E">
        <w:rPr>
          <w:szCs w:val="22"/>
        </w:rPr>
        <w:t>5 mL concentrate in a type 1 glass vial with a rubber stopper and an aluminium seal with a flip</w:t>
      </w:r>
      <w:r w:rsidRPr="0040771E">
        <w:rPr>
          <w:szCs w:val="22"/>
        </w:rPr>
        <w:noBreakHyphen/>
        <w:t>off cap containing 100 mg of daratumumab. Pack size of 1 vial.</w:t>
      </w:r>
    </w:p>
    <w:p w:rsidR="007E2BC7" w14:paraId="5B9AC5A5" w14:textId="77777777">
      <w:pPr>
        <w:rPr>
          <w:szCs w:val="22"/>
        </w:rPr>
      </w:pPr>
      <w:r w:rsidRPr="0040771E">
        <w:rPr>
          <w:szCs w:val="22"/>
        </w:rPr>
        <w:t>20 mL concentrate in a type 1 glass vial with a rubber stopper and an aluminium seal with a flip</w:t>
      </w:r>
      <w:r w:rsidRPr="0040771E">
        <w:rPr>
          <w:szCs w:val="22"/>
        </w:rPr>
        <w:noBreakHyphen/>
        <w:t>off cap containing 400 mg of daratumumab. Pack size of 1 vial.</w:t>
      </w:r>
    </w:p>
    <w:p w:rsidR="007463B7" w:rsidRPr="0040771E" w14:paraId="5AB6ED62" w14:textId="77777777">
      <w:pPr>
        <w:rPr>
          <w:szCs w:val="22"/>
        </w:rPr>
      </w:pPr>
    </w:p>
    <w:p w:rsidR="007E2BC7" w:rsidRPr="0040771E" w14:paraId="5B9D3C62" w14:textId="77777777">
      <w:pPr>
        <w:rPr>
          <w:szCs w:val="22"/>
          <w:rtl/>
          <w:lang w:val="en-US" w:bidi="he-IL"/>
        </w:rPr>
      </w:pPr>
    </w:p>
    <w:p w:rsidR="007E2BC7" w:rsidRPr="0040771E" w14:paraId="3A225597" w14:textId="77777777">
      <w:pPr>
        <w:keepNext/>
        <w:ind w:left="567" w:hanging="567"/>
        <w:outlineLvl w:val="1"/>
        <w:rPr>
          <w:b/>
          <w:szCs w:val="22"/>
        </w:rPr>
      </w:pPr>
      <w:bookmarkStart w:id="44" w:name="OLE_LINK1"/>
      <w:r w:rsidRPr="0040771E">
        <w:rPr>
          <w:b/>
          <w:szCs w:val="22"/>
        </w:rPr>
        <w:t>6.6</w:t>
      </w:r>
      <w:r w:rsidRPr="0040771E">
        <w:rPr>
          <w:b/>
          <w:szCs w:val="22"/>
        </w:rPr>
        <w:tab/>
        <w:t>Special precautions for disposal and other handling</w:t>
      </w:r>
    </w:p>
    <w:p w:rsidR="007E2BC7" w:rsidRPr="0040771E" w14:paraId="523A6177" w14:textId="77777777">
      <w:pPr>
        <w:keepNext/>
        <w:rPr>
          <w:szCs w:val="22"/>
        </w:rPr>
      </w:pPr>
    </w:p>
    <w:p w:rsidR="007E2BC7" w:rsidRPr="0040771E" w14:paraId="24B9E361" w14:textId="77777777">
      <w:pPr>
        <w:rPr>
          <w:szCs w:val="22"/>
        </w:rPr>
      </w:pPr>
      <w:r w:rsidRPr="0040771E">
        <w:rPr>
          <w:szCs w:val="22"/>
        </w:rPr>
        <w:t>This medicinal product is for single</w:t>
      </w:r>
      <w:r w:rsidRPr="0040771E">
        <w:rPr>
          <w:szCs w:val="22"/>
        </w:rPr>
        <w:noBreakHyphen/>
        <w:t>use only.</w:t>
      </w:r>
    </w:p>
    <w:p w:rsidR="007E2BC7" w:rsidRPr="0040771E" w14:paraId="0A54CF37" w14:textId="77777777">
      <w:pPr>
        <w:keepNext/>
      </w:pPr>
      <w:r w:rsidRPr="0040771E">
        <w:t>Prepare the solution for infusion using aseptic technique as follows:</w:t>
      </w:r>
    </w:p>
    <w:p w:rsidR="007E2BC7" w:rsidRPr="0040771E" w14:paraId="729E35B0" w14:textId="77777777">
      <w:pPr>
        <w:keepNext/>
      </w:pPr>
    </w:p>
    <w:p w:rsidR="007E2BC7" w:rsidRPr="0040771E" w14:paraId="3A7E906E" w14:textId="283B7DC0">
      <w:pPr>
        <w:numPr>
          <w:ilvl w:val="0"/>
          <w:numId w:val="3"/>
        </w:numPr>
        <w:ind w:left="567" w:hanging="567"/>
      </w:pPr>
      <w:r w:rsidRPr="0040771E">
        <w:t xml:space="preserve">Calculate the dose (mg), total volume (mL) of </w:t>
      </w:r>
      <w:r w:rsidR="00E65908">
        <w:t>DARZALEX</w:t>
      </w:r>
      <w:r w:rsidRPr="0040771E">
        <w:t xml:space="preserve"> solution required and the number of </w:t>
      </w:r>
      <w:r w:rsidR="00E65908">
        <w:t>DARZALEX</w:t>
      </w:r>
      <w:r w:rsidRPr="0040771E">
        <w:t xml:space="preserve"> vials needed based on patient weight.</w:t>
      </w:r>
    </w:p>
    <w:p w:rsidR="007E2BC7" w:rsidRPr="0040771E" w14:paraId="2477B097" w14:textId="0D54030C">
      <w:pPr>
        <w:numPr>
          <w:ilvl w:val="0"/>
          <w:numId w:val="3"/>
        </w:numPr>
        <w:ind w:left="567" w:hanging="567"/>
      </w:pPr>
      <w:r w:rsidRPr="0040771E">
        <w:t xml:space="preserve">Check that the </w:t>
      </w:r>
      <w:r w:rsidR="00E65908">
        <w:t>DARZALEX</w:t>
      </w:r>
      <w:r w:rsidRPr="0040771E">
        <w:t xml:space="preserve"> solution is colourless to yellow. Do not use if opaque particles, discolouration or other foreign particles are present.</w:t>
      </w:r>
    </w:p>
    <w:p w:rsidR="007E2BC7" w:rsidRPr="0040771E" w14:paraId="1EBE6886" w14:textId="6B05A418">
      <w:pPr>
        <w:numPr>
          <w:ilvl w:val="0"/>
          <w:numId w:val="3"/>
        </w:numPr>
        <w:ind w:left="567" w:hanging="567"/>
      </w:pPr>
      <w:r w:rsidRPr="0040771E">
        <w:t>Using aseptic technique, remove a volume of sodium chloride 9 mg/mL (0.9%) solution for injection from the infusion</w:t>
      </w:r>
      <w:r w:rsidRPr="0040771E">
        <w:rPr>
          <w:rFonts w:cs="Arial"/>
        </w:rPr>
        <w:t xml:space="preserve"> bag/container that is equal to the required volume of </w:t>
      </w:r>
      <w:r w:rsidR="00E65908">
        <w:rPr>
          <w:szCs w:val="22"/>
        </w:rPr>
        <w:t>DARZALEX</w:t>
      </w:r>
      <w:r w:rsidRPr="0040771E">
        <w:rPr>
          <w:szCs w:val="22"/>
        </w:rPr>
        <w:t xml:space="preserve"> solution.</w:t>
      </w:r>
    </w:p>
    <w:p w:rsidR="007E2BC7" w:rsidRPr="0040771E" w14:paraId="09BCA417" w14:textId="52752A86">
      <w:pPr>
        <w:numPr>
          <w:ilvl w:val="0"/>
          <w:numId w:val="3"/>
        </w:numPr>
        <w:ind w:left="567" w:hanging="567"/>
      </w:pPr>
      <w:r w:rsidRPr="0040771E">
        <w:t xml:space="preserve">Withdraw the necessary amount of </w:t>
      </w:r>
      <w:r w:rsidR="00E65908">
        <w:t>DARZALEX</w:t>
      </w:r>
      <w:r w:rsidRPr="0040771E">
        <w:t xml:space="preserve"> solution and dilute to the appropriate volume by adding to an infusion bag/container containing sodium chloride 9 mg/mL (0.9%) solution for injection (see section 4.2). Infusion bags/containers must be made of polyvinylchloride (PVC), polypropylene (PP), polyethylene (PE) or polyolefin blend (PP+PE). </w:t>
      </w:r>
      <w:r w:rsidRPr="0040771E">
        <w:rPr>
          <w:szCs w:val="22"/>
        </w:rPr>
        <w:t xml:space="preserve">Dilute under appropriate aseptic conditions. </w:t>
      </w:r>
      <w:r w:rsidRPr="0040771E">
        <w:t>Discard any unused portion left in the vial.</w:t>
      </w:r>
    </w:p>
    <w:p w:rsidR="007E2BC7" w:rsidRPr="0040771E" w14:paraId="24EFBDCE" w14:textId="77777777">
      <w:pPr>
        <w:numPr>
          <w:ilvl w:val="0"/>
          <w:numId w:val="3"/>
        </w:numPr>
        <w:ind w:left="567" w:hanging="567"/>
      </w:pPr>
      <w:r w:rsidRPr="0040771E">
        <w:t>Gently invert the bag/container to mix the solution. Do not shake.</w:t>
      </w:r>
    </w:p>
    <w:p w:rsidR="007E2BC7" w:rsidRPr="0040771E" w14:paraId="1C514B33" w14:textId="77777777">
      <w:pPr>
        <w:numPr>
          <w:ilvl w:val="0"/>
          <w:numId w:val="3"/>
        </w:numPr>
        <w:ind w:left="567" w:hanging="567"/>
      </w:pPr>
      <w:r w:rsidRPr="0040771E">
        <w:t>Visually inspect parenteral medicinal products for particulate matter and discolouration prior to administration. The diluted solution may develop very small, translucent to white proteinaceous particles, as daratumumab is a protein. Do not use if visibly opaque particles, discolouration or foreign particles are observed.</w:t>
      </w:r>
    </w:p>
    <w:p w:rsidR="007E2BC7" w:rsidRPr="0040771E" w14:paraId="75BEA250" w14:textId="73ED2F9E">
      <w:pPr>
        <w:numPr>
          <w:ilvl w:val="0"/>
          <w:numId w:val="3"/>
        </w:numPr>
        <w:ind w:left="567" w:hanging="567"/>
      </w:pPr>
      <w:r w:rsidRPr="0040771E">
        <w:t xml:space="preserve">Since </w:t>
      </w:r>
      <w:r w:rsidR="00E65908">
        <w:t>DARZALEX</w:t>
      </w:r>
      <w:r w:rsidRPr="0040771E">
        <w:t xml:space="preserve"> does not contain a preservative, diluted solutions should be administered within 15</w:t>
      </w:r>
      <w:r w:rsidRPr="0040771E">
        <w:rPr>
          <w:szCs w:val="22"/>
        </w:rPr>
        <w:t> </w:t>
      </w:r>
      <w:r w:rsidRPr="0040771E">
        <w:t>hours (including infusion time) at room temperature (15°C</w:t>
      </w:r>
      <w:r w:rsidRPr="0040771E">
        <w:rPr>
          <w:szCs w:val="22"/>
        </w:rPr>
        <w:noBreakHyphen/>
      </w:r>
      <w:r w:rsidRPr="0040771E">
        <w:t>25°C) and in room light.</w:t>
      </w:r>
    </w:p>
    <w:p w:rsidR="007E2BC7" w:rsidRPr="0040771E" w14:paraId="2D65DF82" w14:textId="77777777">
      <w:pPr>
        <w:numPr>
          <w:ilvl w:val="0"/>
          <w:numId w:val="3"/>
        </w:numPr>
        <w:ind w:left="567" w:hanging="567"/>
        <w:rPr>
          <w:color w:val="000000"/>
        </w:rPr>
      </w:pPr>
      <w:r w:rsidRPr="0040771E">
        <w:t>If not used immediately, the diluted solution can be stored prior to administration for up to 24</w:t>
      </w:r>
      <w:r w:rsidRPr="0040771E">
        <w:rPr>
          <w:szCs w:val="22"/>
        </w:rPr>
        <w:t> </w:t>
      </w:r>
      <w:r w:rsidRPr="0040771E">
        <w:t>hours at refrigerated conditions (2°C</w:t>
      </w:r>
      <w:r w:rsidRPr="0040771E">
        <w:rPr>
          <w:szCs w:val="22"/>
        </w:rPr>
        <w:noBreakHyphen/>
      </w:r>
      <w:r w:rsidRPr="0040771E">
        <w:t xml:space="preserve">8°C) and protected from light. Do not freeze. </w:t>
      </w:r>
      <w:r w:rsidRPr="0040771E">
        <w:rPr>
          <w:color w:val="000000"/>
        </w:rPr>
        <w:t>If stored in the refrigerator, allow the solution to reach ambient temperature before administration.</w:t>
      </w:r>
    </w:p>
    <w:p w:rsidR="007E2BC7" w:rsidRPr="0040771E" w14:paraId="383C4F3A" w14:textId="77777777">
      <w:pPr>
        <w:numPr>
          <w:ilvl w:val="0"/>
          <w:numId w:val="3"/>
        </w:numPr>
        <w:ind w:left="567" w:hanging="567"/>
      </w:pPr>
      <w:r w:rsidRPr="0040771E">
        <w:t>Administer the diluted solution by intravenous infusion using an infusion set fitted with a flow regulator and with an in</w:t>
      </w:r>
      <w:r w:rsidRPr="0040771E">
        <w:noBreakHyphen/>
        <w:t>line, sterile, non</w:t>
      </w:r>
      <w:r w:rsidRPr="0040771E">
        <w:noBreakHyphen/>
        <w:t>pyrogenic, low protein</w:t>
      </w:r>
      <w:r w:rsidRPr="0040771E">
        <w:noBreakHyphen/>
        <w:t>binding polyethersulfone (PES) filter (pore size 0.22 or 0.2 micrometre). Polyurethane (PU), polybutadiene (PBD), PVC, PP or PE administration sets must be used.</w:t>
      </w:r>
    </w:p>
    <w:p w:rsidR="007E2BC7" w:rsidRPr="0040771E" w14:paraId="7CB8251B" w14:textId="6D48B18A">
      <w:pPr>
        <w:numPr>
          <w:ilvl w:val="0"/>
          <w:numId w:val="3"/>
        </w:numPr>
        <w:ind w:left="567" w:hanging="567"/>
      </w:pPr>
      <w:r w:rsidRPr="0040771E">
        <w:t xml:space="preserve">Do not infuse </w:t>
      </w:r>
      <w:r w:rsidR="00E65908">
        <w:t>DARZALEX</w:t>
      </w:r>
      <w:r w:rsidRPr="0040771E">
        <w:t xml:space="preserve"> concomitantly in the same intravenous line with other agents.</w:t>
      </w:r>
    </w:p>
    <w:bookmarkEnd w:id="44"/>
    <w:p w:rsidR="007E2BC7" w:rsidRPr="0040771E" w14:paraId="3F747020" w14:textId="77777777">
      <w:pPr>
        <w:numPr>
          <w:ilvl w:val="0"/>
          <w:numId w:val="3"/>
        </w:numPr>
        <w:ind w:left="567" w:hanging="567"/>
      </w:pPr>
      <w:r w:rsidRPr="0040771E">
        <w:t>Do not store any unused portion of the infusion solution for reuse. Any unused product or waste material should be disposed of in accordance with local requirements.</w:t>
      </w:r>
    </w:p>
    <w:p w:rsidR="007E2BC7" w:rsidRPr="0040771E" w14:paraId="70FE4414" w14:textId="77777777">
      <w:pPr>
        <w:rPr>
          <w:szCs w:val="22"/>
        </w:rPr>
      </w:pPr>
    </w:p>
    <w:p w:rsidR="007E2BC7" w:rsidRPr="00D635A1" w14:paraId="6586A5E7" w14:textId="2B26457C">
      <w:pPr>
        <w:pStyle w:val="BodyText12"/>
        <w:spacing w:after="0"/>
        <w:jc w:val="left"/>
      </w:pPr>
      <w:r w:rsidRPr="00813A0E">
        <w:rPr>
          <w:rFonts w:ascii="Arial" w:hAnsi="Arial" w:cs="Arial"/>
          <w:b/>
          <w:bCs/>
          <w:sz w:val="20"/>
        </w:rPr>
        <w:t>Manufacturer:</w:t>
      </w:r>
      <w:r w:rsidRPr="00813A0E">
        <w:t xml:space="preserve"> </w:t>
      </w:r>
      <w:r w:rsidR="00112C07">
        <w:rPr>
          <w:rFonts w:ascii="Arial" w:eastAsia="SimSun" w:hAnsi="Arial" w:cs="Arial"/>
          <w:b/>
          <w:bCs/>
          <w:sz w:val="20"/>
          <w:lang w:bidi="he-IL"/>
        </w:rPr>
        <w:t>J</w:t>
      </w:r>
      <w:r w:rsidR="00112C07">
        <w:rPr>
          <w:rFonts w:ascii="Arial" w:eastAsia="SimSun" w:hAnsi="Arial" w:cs="Arial"/>
          <w:b/>
          <w:bCs/>
          <w:sz w:val="20"/>
          <w:lang w:bidi="he-IL"/>
        </w:rPr>
        <w:t>anssen</w:t>
      </w:r>
      <w:r w:rsidR="00112C07">
        <w:rPr>
          <w:rFonts w:ascii="Arial" w:eastAsia="SimSun" w:hAnsi="Arial" w:cs="Arial"/>
          <w:b/>
          <w:bCs/>
          <w:sz w:val="20"/>
          <w:lang w:bidi="he-IL"/>
        </w:rPr>
        <w:t>-Cilag International NV.,</w:t>
      </w:r>
      <w:r w:rsidRPr="00112C07" w:rsidR="00112C07">
        <w:rPr>
          <w:rFonts w:ascii="Arial" w:eastAsia="SimSun" w:hAnsi="Arial" w:cs="Arial"/>
          <w:sz w:val="20"/>
          <w:lang w:bidi="he-IL"/>
        </w:rPr>
        <w:t xml:space="preserve"> </w:t>
      </w:r>
      <w:r w:rsidR="00112C07">
        <w:rPr>
          <w:rFonts w:ascii="Arial" w:eastAsia="SimSun" w:hAnsi="Arial" w:cs="Arial"/>
          <w:sz w:val="20"/>
          <w:lang w:bidi="he-IL"/>
        </w:rPr>
        <w:t>Turnhoutseweg</w:t>
      </w:r>
      <w:r w:rsidR="00112C07">
        <w:rPr>
          <w:rFonts w:ascii="Arial" w:eastAsia="SimSun" w:hAnsi="Arial" w:cs="Arial"/>
          <w:sz w:val="20"/>
          <w:lang w:bidi="he-IL"/>
        </w:rPr>
        <w:t xml:space="preserve"> 30 B-2340 Beerse, Belgium </w:t>
      </w:r>
    </w:p>
    <w:p w:rsidR="007E2BC7" w:rsidRPr="0040771E" w14:paraId="79978BD2" w14:textId="74741EA3">
      <w:pPr>
        <w:pStyle w:val="BodyText120"/>
        <w:widowControl w:val="0"/>
        <w:spacing w:after="0" w:line="240" w:lineRule="auto"/>
        <w:jc w:val="left"/>
      </w:pPr>
      <w:r w:rsidRPr="0040771E">
        <w:rPr>
          <w:b/>
          <w:bCs/>
        </w:rPr>
        <w:t>Registration holder:</w:t>
      </w:r>
      <w:r w:rsidRPr="0040771E">
        <w:t xml:space="preserve"> J-C Health Care Ltd., Kibbutz </w:t>
      </w:r>
      <w:r w:rsidRPr="0040771E">
        <w:t>Shefayim</w:t>
      </w:r>
      <w:r w:rsidRPr="0040771E">
        <w:t xml:space="preserve"> 6099000, Israel</w:t>
      </w:r>
    </w:p>
    <w:p w:rsidR="007E2BC7" w:rsidRPr="0040771E" w14:paraId="45DBEFA0" w14:textId="77777777">
      <w:pPr>
        <w:pStyle w:val="BodyText120"/>
        <w:widowControl w:val="0"/>
        <w:spacing w:after="0" w:line="240" w:lineRule="auto"/>
        <w:jc w:val="left"/>
      </w:pPr>
    </w:p>
    <w:p w:rsidR="007E2BC7" w:rsidRPr="0040771E" w14:paraId="21849C2D" w14:textId="0D52C597">
      <w:pPr>
        <w:pStyle w:val="BodyText120"/>
        <w:widowControl w:val="0"/>
        <w:spacing w:after="0" w:line="240" w:lineRule="auto"/>
        <w:jc w:val="left"/>
        <w:rPr>
          <w:lang w:bidi="he-IL"/>
        </w:rPr>
      </w:pPr>
      <w:r>
        <w:t>R</w:t>
      </w:r>
      <w:r>
        <w:rPr>
          <w:lang w:bidi="he-IL"/>
        </w:rPr>
        <w:t>evised in</w:t>
      </w:r>
      <w:r>
        <w:rPr>
          <w:lang w:bidi="he-IL"/>
        </w:rPr>
        <w:t xml:space="preserve"> </w:t>
      </w:r>
      <w:r w:rsidR="007463B7">
        <w:rPr>
          <w:lang w:bidi="he-IL"/>
        </w:rPr>
        <w:t>02/2026</w:t>
      </w:r>
    </w:p>
    <w:p w:rsidR="007E2BC7" w14:paraId="77683606" w14:textId="77777777">
      <w:pPr>
        <w:widowControl w:val="0"/>
        <w:rPr>
          <w:lang w:val="en-US" w:bidi="he-IL"/>
        </w:rPr>
      </w:pPr>
      <w:r w:rsidRPr="0040771E">
        <w:rPr>
          <w:b/>
        </w:rPr>
        <w:t>Registration number:</w:t>
      </w:r>
      <w:r w:rsidRPr="0040771E">
        <w:rPr>
          <w:bCs/>
        </w:rPr>
        <w:t xml:space="preserve"> </w:t>
      </w:r>
      <w:r w:rsidRPr="0040771E">
        <w:rPr>
          <w:lang w:val="en-US" w:bidi="he-IL"/>
        </w:rPr>
        <w:t>157-75-34719-00</w:t>
      </w:r>
    </w:p>
    <w:bookmarkEnd w:id="28"/>
    <w:p w:rsidR="00322871" w:rsidRPr="003C1B45" w:rsidP="003C1B45" w14:paraId="762B476D" w14:textId="77777777">
      <w:pPr>
        <w:tabs>
          <w:tab w:val="clear" w:pos="567"/>
          <w:tab w:val="left" w:pos="2190"/>
        </w:tabs>
        <w:rPr>
          <w:szCs w:val="22"/>
          <w:lang w:val="en-US"/>
        </w:rPr>
      </w:pPr>
    </w:p>
    <w:sectPr>
      <w:footerReference w:type="default" r:id="rId22"/>
      <w:footerReference w:type="first" r:id="rId23"/>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2BC7" w14:paraId="435FF734" w14:textId="45A7C3FF">
    <w:pPr>
      <w:pStyle w:val="Footer"/>
      <w:rPr>
        <w:lang w:val="en-US" w:bidi="he-IL"/>
      </w:rPr>
    </w:pPr>
    <w:r>
      <w:rPr>
        <w:lang w:val="en-US" w:bidi="he-IL"/>
      </w:rPr>
      <w:t>Darzalex 20mg-ml IV-100mg_400mg_ concentrate for solution for infusion_</w:t>
    </w:r>
    <w:r w:rsidR="00E80129">
      <w:rPr>
        <w:lang w:val="en-US" w:bidi="he-IL"/>
      </w:rPr>
      <w:t>SPC</w:t>
    </w:r>
    <w:r>
      <w:rPr>
        <w:lang w:val="en-US" w:bidi="he-IL"/>
      </w:rPr>
      <w:t>_</w:t>
    </w:r>
    <w:r w:rsidR="001D2262">
      <w:rPr>
        <w:lang w:val="en-US" w:bidi="he-IL"/>
      </w:rPr>
      <w:t>02_2026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2BC7" w14:paraId="08CE9077" w14:textId="7BC70B24">
    <w:pPr>
      <w:pStyle w:val="Footer"/>
    </w:pPr>
    <w:r>
      <w:rPr>
        <w:lang w:val="en-US" w:bidi="he-IL"/>
      </w:rPr>
      <w:t>Darzalex 20mg-ml IV-100mg_400mg_ concentrate for solution for infusion_</w:t>
    </w:r>
    <w:r w:rsidR="00E80129">
      <w:rPr>
        <w:lang w:val="en-US" w:bidi="he-IL"/>
      </w:rPr>
      <w:t>SPC</w:t>
    </w:r>
    <w:r>
      <w:rPr>
        <w:lang w:val="en-US" w:bidi="he-IL"/>
      </w:rPr>
      <w:t>_</w:t>
    </w:r>
    <w:r w:rsidR="003F502F">
      <w:rPr>
        <w:lang w:val="en-US" w:bidi="he-IL"/>
      </w:rPr>
      <w:t>02_2026</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C"/>
    <w:multiLevelType w:val="hybridMultilevel"/>
    <w:tmpl w:val="199AA300"/>
    <w:lvl w:ilvl="0">
      <w:start w:val="1"/>
      <w:numFmt w:val="decimal"/>
      <w:pStyle w:val="PABullet1"/>
      <w:lvlText w:val="%1)"/>
      <w:lvlJc w:val="left"/>
      <w:pPr>
        <w:tabs>
          <w:tab w:val="num" w:pos="1296"/>
        </w:tabs>
        <w:ind w:left="1296" w:hanging="432"/>
      </w:pPr>
      <w:rPr>
        <w:rFonts w:cs="Times New Roman" w:hint="eastAsia"/>
      </w:rPr>
    </w:lvl>
    <w:lvl w:ilvl="1">
      <w:start w:val="1"/>
      <w:numFmt w:val="lowerLetter"/>
      <w:lvlText w:val="%2."/>
      <w:lvlJc w:val="left"/>
      <w:pPr>
        <w:ind w:left="2304" w:hanging="360"/>
      </w:pPr>
      <w:rPr>
        <w:rFonts w:cs="Times New Roman"/>
      </w:rPr>
    </w:lvl>
    <w:lvl w:ilvl="2">
      <w:start w:val="1"/>
      <w:numFmt w:val="lowerRoman"/>
      <w:lvlText w:val="%3."/>
      <w:lvlJc w:val="right"/>
      <w:pPr>
        <w:ind w:left="3024" w:hanging="180"/>
      </w:pPr>
      <w:rPr>
        <w:rFonts w:cs="Times New Roman"/>
      </w:rPr>
    </w:lvl>
    <w:lvl w:ilvl="3">
      <w:start w:val="1"/>
      <w:numFmt w:val="decimal"/>
      <w:lvlText w:val="%4."/>
      <w:lvlJc w:val="left"/>
      <w:pPr>
        <w:ind w:left="3744" w:hanging="360"/>
      </w:pPr>
      <w:rPr>
        <w:rFonts w:cs="Times New Roman"/>
      </w:rPr>
    </w:lvl>
    <w:lvl w:ilvl="4">
      <w:start w:val="1"/>
      <w:numFmt w:val="lowerLetter"/>
      <w:lvlText w:val="%5."/>
      <w:lvlJc w:val="left"/>
      <w:pPr>
        <w:ind w:left="4464" w:hanging="360"/>
      </w:pPr>
      <w:rPr>
        <w:rFonts w:cs="Times New Roman"/>
      </w:rPr>
    </w:lvl>
    <w:lvl w:ilvl="5">
      <w:start w:val="1"/>
      <w:numFmt w:val="lowerRoman"/>
      <w:lvlText w:val="%6."/>
      <w:lvlJc w:val="right"/>
      <w:pPr>
        <w:ind w:left="5184" w:hanging="180"/>
      </w:pPr>
      <w:rPr>
        <w:rFonts w:cs="Times New Roman"/>
      </w:rPr>
    </w:lvl>
    <w:lvl w:ilvl="6">
      <w:start w:val="1"/>
      <w:numFmt w:val="decimal"/>
      <w:lvlText w:val="%7."/>
      <w:lvlJc w:val="left"/>
      <w:pPr>
        <w:ind w:left="5904" w:hanging="360"/>
      </w:pPr>
      <w:rPr>
        <w:rFonts w:cs="Times New Roman"/>
      </w:rPr>
    </w:lvl>
    <w:lvl w:ilvl="7">
      <w:start w:val="1"/>
      <w:numFmt w:val="lowerLetter"/>
      <w:lvlText w:val="%8."/>
      <w:lvlJc w:val="left"/>
      <w:pPr>
        <w:ind w:left="6624" w:hanging="360"/>
      </w:pPr>
      <w:rPr>
        <w:rFonts w:cs="Times New Roman"/>
      </w:rPr>
    </w:lvl>
    <w:lvl w:ilvl="8">
      <w:start w:val="1"/>
      <w:numFmt w:val="lowerRoman"/>
      <w:lvlText w:val="%9."/>
      <w:lvlJc w:val="right"/>
      <w:pPr>
        <w:ind w:left="7344" w:hanging="180"/>
      </w:pPr>
      <w:rPr>
        <w:rFonts w:cs="Times New Roman"/>
      </w:rPr>
    </w:lvl>
  </w:abstractNum>
  <w:abstractNum w:abstractNumId="1">
    <w:nsid w:val="003356D5"/>
    <w:multiLevelType w:val="hybridMultilevel"/>
    <w:tmpl w:val="1CB830B8"/>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06F3EBF"/>
    <w:multiLevelType w:val="hybridMultilevel"/>
    <w:tmpl w:val="35FA0FF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2AD44CB"/>
    <w:multiLevelType w:val="hybridMultilevel"/>
    <w:tmpl w:val="C5FA91B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6D5562B"/>
    <w:multiLevelType w:val="hybridMultilevel"/>
    <w:tmpl w:val="B50620BE"/>
    <w:lvl w:ilvl="0">
      <w:start w:val="1"/>
      <w:numFmt w:val="bullet"/>
      <w:lvlText w:val=""/>
      <w:lvlJc w:val="left"/>
      <w:pPr>
        <w:ind w:left="720" w:hanging="360"/>
      </w:pPr>
      <w:rPr>
        <w:rFonts w:ascii="Symbol" w:hAnsi="Symbol"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9C44CC1"/>
    <w:multiLevelType w:val="hybridMultilevel"/>
    <w:tmpl w:val="7FF2C5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23B1055"/>
    <w:multiLevelType w:val="hybridMultilevel"/>
    <w:tmpl w:val="7AAA314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2504829"/>
    <w:multiLevelType w:val="hybridMultilevel"/>
    <w:tmpl w:val="093A493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25204F9"/>
    <w:multiLevelType w:val="hybridMultilevel"/>
    <w:tmpl w:val="BF244532"/>
    <w:lvl w:ilvl="0">
      <w:start w:val="1"/>
      <w:numFmt w:val="bullet"/>
      <w:lvlText w:val="-"/>
      <w:lvlJc w:val="left"/>
      <w:pPr>
        <w:ind w:left="927" w:hanging="360"/>
      </w:pPr>
      <w:rPr>
        <w:rFonts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9">
    <w:nsid w:val="14BE6FA1"/>
    <w:multiLevelType w:val="hybridMultilevel"/>
    <w:tmpl w:val="1FE4B30A"/>
    <w:lvl w:ilvl="0">
      <w:start w:val="1"/>
      <w:numFmt w:val="bullet"/>
      <w:lvlText w:val=""/>
      <w:lvlJc w:val="left"/>
      <w:pPr>
        <w:tabs>
          <w:tab w:val="num" w:pos="360"/>
        </w:tabs>
        <w:ind w:left="36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5A47600"/>
    <w:multiLevelType w:val="hybridMultilevel"/>
    <w:tmpl w:val="9386EF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18C45D3D"/>
    <w:multiLevelType w:val="hybridMultilevel"/>
    <w:tmpl w:val="858A6ED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19574C7C"/>
    <w:multiLevelType w:val="hybridMultilevel"/>
    <w:tmpl w:val="948A08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9620476"/>
    <w:multiLevelType w:val="hybridMultilevel"/>
    <w:tmpl w:val="B6740BC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19AA4063"/>
    <w:multiLevelType w:val="hybridMultilevel"/>
    <w:tmpl w:val="23840A08"/>
    <w:lvl w:ilvl="0">
      <w:start w:val="3"/>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15">
    <w:nsid w:val="1B540F16"/>
    <w:multiLevelType w:val="hybridMultilevel"/>
    <w:tmpl w:val="BFB64E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C425619"/>
    <w:multiLevelType w:val="hybridMultilevel"/>
    <w:tmpl w:val="75EC7C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C8A1C69"/>
    <w:multiLevelType w:val="hybridMultilevel"/>
    <w:tmpl w:val="628C0B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1F731A6"/>
    <w:multiLevelType w:val="hybridMultilevel"/>
    <w:tmpl w:val="E3F2639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240D4182"/>
    <w:multiLevelType w:val="hybridMultilevel"/>
    <w:tmpl w:val="517097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6B07919"/>
    <w:multiLevelType w:val="hybridMultilevel"/>
    <w:tmpl w:val="1F683CDE"/>
    <w:lvl w:ilvl="0">
      <w:start w:val="1"/>
      <w:numFmt w:val="bullet"/>
      <w:lvlText w:val="-"/>
      <w:lvlJc w:val="left"/>
      <w:pPr>
        <w:ind w:left="720" w:hanging="360"/>
      </w:p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E831A69"/>
    <w:multiLevelType w:val="hybridMultilevel"/>
    <w:tmpl w:val="A992C78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36DB3AFB"/>
    <w:multiLevelType w:val="hybridMultilevel"/>
    <w:tmpl w:val="EFB6C5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7F440A2"/>
    <w:multiLevelType w:val="hybridMultilevel"/>
    <w:tmpl w:val="82A0BFBE"/>
    <w:lvl w:ilvl="0">
      <w:start w:val="1"/>
      <w:numFmt w:val="bullet"/>
      <w:lvlText w:val=""/>
      <w:lvlJc w:val="left"/>
      <w:pPr>
        <w:ind w:left="922" w:hanging="360"/>
      </w:pPr>
      <w:rPr>
        <w:rFonts w:ascii="Symbol" w:hAnsi="Symbol" w:hint="default"/>
      </w:rPr>
    </w:lvl>
    <w:lvl w:ilvl="1" w:tentative="1">
      <w:start w:val="1"/>
      <w:numFmt w:val="bullet"/>
      <w:lvlText w:val="o"/>
      <w:lvlJc w:val="left"/>
      <w:pPr>
        <w:ind w:left="1642" w:hanging="360"/>
      </w:pPr>
      <w:rPr>
        <w:rFonts w:ascii="Courier New" w:hAnsi="Courier New" w:cs="Courier New" w:hint="default"/>
      </w:rPr>
    </w:lvl>
    <w:lvl w:ilvl="2" w:tentative="1">
      <w:start w:val="1"/>
      <w:numFmt w:val="bullet"/>
      <w:lvlText w:val=""/>
      <w:lvlJc w:val="left"/>
      <w:pPr>
        <w:ind w:left="2362" w:hanging="360"/>
      </w:pPr>
      <w:rPr>
        <w:rFonts w:ascii="Wingdings" w:hAnsi="Wingdings" w:hint="default"/>
      </w:rPr>
    </w:lvl>
    <w:lvl w:ilvl="3" w:tentative="1">
      <w:start w:val="1"/>
      <w:numFmt w:val="bullet"/>
      <w:lvlText w:val=""/>
      <w:lvlJc w:val="left"/>
      <w:pPr>
        <w:ind w:left="3082" w:hanging="360"/>
      </w:pPr>
      <w:rPr>
        <w:rFonts w:ascii="Symbol" w:hAnsi="Symbol" w:hint="default"/>
      </w:rPr>
    </w:lvl>
    <w:lvl w:ilvl="4" w:tentative="1">
      <w:start w:val="1"/>
      <w:numFmt w:val="bullet"/>
      <w:lvlText w:val="o"/>
      <w:lvlJc w:val="left"/>
      <w:pPr>
        <w:ind w:left="3802" w:hanging="360"/>
      </w:pPr>
      <w:rPr>
        <w:rFonts w:ascii="Courier New" w:hAnsi="Courier New" w:cs="Courier New" w:hint="default"/>
      </w:rPr>
    </w:lvl>
    <w:lvl w:ilvl="5" w:tentative="1">
      <w:start w:val="1"/>
      <w:numFmt w:val="bullet"/>
      <w:lvlText w:val=""/>
      <w:lvlJc w:val="left"/>
      <w:pPr>
        <w:ind w:left="4522" w:hanging="360"/>
      </w:pPr>
      <w:rPr>
        <w:rFonts w:ascii="Wingdings" w:hAnsi="Wingdings" w:hint="default"/>
      </w:rPr>
    </w:lvl>
    <w:lvl w:ilvl="6" w:tentative="1">
      <w:start w:val="1"/>
      <w:numFmt w:val="bullet"/>
      <w:lvlText w:val=""/>
      <w:lvlJc w:val="left"/>
      <w:pPr>
        <w:ind w:left="5242" w:hanging="360"/>
      </w:pPr>
      <w:rPr>
        <w:rFonts w:ascii="Symbol" w:hAnsi="Symbol" w:hint="default"/>
      </w:rPr>
    </w:lvl>
    <w:lvl w:ilvl="7" w:tentative="1">
      <w:start w:val="1"/>
      <w:numFmt w:val="bullet"/>
      <w:lvlText w:val="o"/>
      <w:lvlJc w:val="left"/>
      <w:pPr>
        <w:ind w:left="5962" w:hanging="360"/>
      </w:pPr>
      <w:rPr>
        <w:rFonts w:ascii="Courier New" w:hAnsi="Courier New" w:cs="Courier New" w:hint="default"/>
      </w:rPr>
    </w:lvl>
    <w:lvl w:ilvl="8" w:tentative="1">
      <w:start w:val="1"/>
      <w:numFmt w:val="bullet"/>
      <w:lvlText w:val=""/>
      <w:lvlJc w:val="left"/>
      <w:pPr>
        <w:ind w:left="6682" w:hanging="360"/>
      </w:pPr>
      <w:rPr>
        <w:rFonts w:ascii="Wingdings" w:hAnsi="Wingdings" w:hint="default"/>
      </w:rPr>
    </w:lvl>
  </w:abstractNum>
  <w:abstractNum w:abstractNumId="24">
    <w:nsid w:val="39F9432C"/>
    <w:multiLevelType w:val="hybridMultilevel"/>
    <w:tmpl w:val="BA303D38"/>
    <w:lvl w:ilvl="0">
      <w:start w:val="1"/>
      <w:numFmt w:val="bullet"/>
      <w:lvlText w:val="-"/>
      <w:lvlJc w:val="left"/>
      <w:pPr>
        <w:ind w:left="1287" w:hanging="360"/>
      </w:pPr>
      <w:rPr>
        <w:rFont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5">
    <w:nsid w:val="3B8057BB"/>
    <w:multiLevelType w:val="hybridMultilevel"/>
    <w:tmpl w:val="ECC01E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E75421C"/>
    <w:multiLevelType w:val="hybridMultilevel"/>
    <w:tmpl w:val="C74C26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411B75E0"/>
    <w:multiLevelType w:val="singleLevel"/>
    <w:tmpl w:val="6BEA755E"/>
    <w:lvl w:ilvl="0">
      <w:start w:val="1"/>
      <w:numFmt w:val="decimal"/>
      <w:lvlText w:val="%1."/>
      <w:legacy w:legacy="1" w:legacySpace="0" w:legacyIndent="360"/>
      <w:lvlJc w:val="left"/>
      <w:pPr>
        <w:ind w:left="360" w:hanging="360"/>
      </w:pPr>
    </w:lvl>
  </w:abstractNum>
  <w:abstractNum w:abstractNumId="28">
    <w:nsid w:val="45645D77"/>
    <w:multiLevelType w:val="hybridMultilevel"/>
    <w:tmpl w:val="B11E5C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B857693"/>
    <w:multiLevelType w:val="hybridMultilevel"/>
    <w:tmpl w:val="4A6452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0EB185C"/>
    <w:multiLevelType w:val="hybridMultilevel"/>
    <w:tmpl w:val="8D44E6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3E41D0F"/>
    <w:multiLevelType w:val="hybridMultilevel"/>
    <w:tmpl w:val="150E246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5557419C"/>
    <w:multiLevelType w:val="hybridMultilevel"/>
    <w:tmpl w:val="6C9ACF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5630600"/>
    <w:multiLevelType w:val="hybridMultilevel"/>
    <w:tmpl w:val="1F5EA8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5A9045F"/>
    <w:multiLevelType w:val="hybridMultilevel"/>
    <w:tmpl w:val="D03C329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56622F08"/>
    <w:multiLevelType w:val="hybridMultilevel"/>
    <w:tmpl w:val="E21C075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585C19AE"/>
    <w:multiLevelType w:val="hybridMultilevel"/>
    <w:tmpl w:val="9E605816"/>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58B26CDE"/>
    <w:multiLevelType w:val="hybridMultilevel"/>
    <w:tmpl w:val="BD76FC9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5A3903BB"/>
    <w:multiLevelType w:val="hybridMultilevel"/>
    <w:tmpl w:val="9AD8D2D2"/>
    <w:lvl w:ilvl="0">
      <w:start w:val="1"/>
      <w:numFmt w:val="decimal"/>
      <w:lvlText w:val="%1."/>
      <w:lvlJc w:val="left"/>
      <w:pPr>
        <w:ind w:left="44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F2A1ABE"/>
    <w:multiLevelType w:val="singleLevel"/>
    <w:tmpl w:val="B686D922"/>
    <w:lvl w:ilvl="0">
      <w:start w:val="1"/>
      <w:numFmt w:val="bullet"/>
      <w:pStyle w:val="Bullet12-1"/>
      <w:lvlText w:val=""/>
      <w:lvlJc w:val="left"/>
      <w:pPr>
        <w:tabs>
          <w:tab w:val="num" w:pos="432"/>
        </w:tabs>
        <w:ind w:left="432" w:hanging="432"/>
      </w:pPr>
      <w:rPr>
        <w:rFonts w:ascii="Symbol" w:hAnsi="Symbol" w:hint="default"/>
      </w:rPr>
    </w:lvl>
  </w:abstractNum>
  <w:abstractNum w:abstractNumId="40">
    <w:nsid w:val="621A5004"/>
    <w:multiLevelType w:val="hybridMultilevel"/>
    <w:tmpl w:val="CE6C836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4380C3D"/>
    <w:multiLevelType w:val="hybridMultilevel"/>
    <w:tmpl w:val="851E4984"/>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2">
    <w:nsid w:val="65EF49A3"/>
    <w:multiLevelType w:val="hybridMultilevel"/>
    <w:tmpl w:val="535412AC"/>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66EE7F38"/>
    <w:multiLevelType w:val="hybridMultilevel"/>
    <w:tmpl w:val="BB567E0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67543F4C"/>
    <w:multiLevelType w:val="hybridMultilevel"/>
    <w:tmpl w:val="98B4B05E"/>
    <w:lvl w:ilvl="0">
      <w:start w:val="0"/>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45">
    <w:nsid w:val="686F389F"/>
    <w:multiLevelType w:val="hybridMultilevel"/>
    <w:tmpl w:val="E08AC3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9E95A54"/>
    <w:multiLevelType w:val="multilevel"/>
    <w:tmpl w:val="00000033"/>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47">
    <w:nsid w:val="6B63103F"/>
    <w:multiLevelType w:val="hybridMultilevel"/>
    <w:tmpl w:val="036C8F5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8">
    <w:nsid w:val="6D8B33AE"/>
    <w:multiLevelType w:val="hybridMultilevel"/>
    <w:tmpl w:val="BCFEDAAA"/>
    <w:lvl w:ilvl="0">
      <w:start w:val="1"/>
      <w:numFmt w:val="bullet"/>
      <w:lvlText w:val="-"/>
      <w:lvlJc w:val="left"/>
      <w:pPr>
        <w:ind w:left="1080" w:hanging="360"/>
      </w:p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9">
    <w:nsid w:val="6DB9329F"/>
    <w:multiLevelType w:val="hybridMultilevel"/>
    <w:tmpl w:val="6C92BF88"/>
    <w:lvl w:ilvl="0">
      <w:start w:val="1"/>
      <w:numFmt w:val="bullet"/>
      <w:lvlText w:val="-"/>
      <w:lvlJc w:val="left"/>
      <w:pPr>
        <w:ind w:left="720" w:hanging="360"/>
      </w:p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1B627E8"/>
    <w:multiLevelType w:val="hybridMultilevel"/>
    <w:tmpl w:val="338A7D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76B84DA2"/>
    <w:multiLevelType w:val="hybridMultilevel"/>
    <w:tmpl w:val="643CDD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880082B"/>
    <w:multiLevelType w:val="hybridMultilevel"/>
    <w:tmpl w:val="EFBA413E"/>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3">
    <w:nsid w:val="7FA40135"/>
    <w:multiLevelType w:val="hybridMultilevel"/>
    <w:tmpl w:val="07C21938"/>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39"/>
  </w:num>
  <w:num w:numId="3">
    <w:abstractNumId w:val="37"/>
  </w:num>
  <w:num w:numId="4">
    <w:abstractNumId w:val="48"/>
  </w:num>
  <w:num w:numId="5">
    <w:abstractNumId w:val="20"/>
  </w:num>
  <w:num w:numId="6">
    <w:abstractNumId w:val="49"/>
  </w:num>
  <w:num w:numId="7">
    <w:abstractNumId w:val="9"/>
  </w:num>
  <w:num w:numId="8">
    <w:abstractNumId w:val="12"/>
  </w:num>
  <w:num w:numId="9">
    <w:abstractNumId w:val="50"/>
  </w:num>
  <w:num w:numId="10">
    <w:abstractNumId w:val="11"/>
  </w:num>
  <w:num w:numId="11">
    <w:abstractNumId w:val="21"/>
  </w:num>
  <w:num w:numId="12">
    <w:abstractNumId w:val="34"/>
  </w:num>
  <w:num w:numId="13">
    <w:abstractNumId w:val="13"/>
  </w:num>
  <w:num w:numId="14">
    <w:abstractNumId w:val="47"/>
  </w:num>
  <w:num w:numId="15">
    <w:abstractNumId w:val="36"/>
  </w:num>
  <w:num w:numId="16">
    <w:abstractNumId w:val="5"/>
  </w:num>
  <w:num w:numId="17">
    <w:abstractNumId w:val="1"/>
  </w:num>
  <w:num w:numId="18">
    <w:abstractNumId w:val="17"/>
  </w:num>
  <w:num w:numId="19">
    <w:abstractNumId w:val="35"/>
  </w:num>
  <w:num w:numId="20">
    <w:abstractNumId w:val="4"/>
  </w:num>
  <w:num w:numId="21">
    <w:abstractNumId w:val="43"/>
  </w:num>
  <w:num w:numId="22">
    <w:abstractNumId w:val="2"/>
  </w:num>
  <w:num w:numId="23">
    <w:abstractNumId w:val="26"/>
  </w:num>
  <w:num w:numId="24">
    <w:abstractNumId w:val="3"/>
  </w:num>
  <w:num w:numId="25">
    <w:abstractNumId w:val="27"/>
  </w:num>
  <w:num w:numId="26">
    <w:abstractNumId w:val="7"/>
  </w:num>
  <w:num w:numId="27">
    <w:abstractNumId w:val="10"/>
  </w:num>
  <w:num w:numId="28">
    <w:abstractNumId w:val="23"/>
  </w:num>
  <w:num w:numId="29">
    <w:abstractNumId w:val="46"/>
  </w:num>
  <w:num w:numId="30">
    <w:abstractNumId w:val="28"/>
  </w:num>
  <w:num w:numId="31">
    <w:abstractNumId w:val="53"/>
  </w:num>
  <w:num w:numId="32">
    <w:abstractNumId w:val="44"/>
  </w:num>
  <w:num w:numId="33">
    <w:abstractNumId w:val="8"/>
  </w:num>
  <w:num w:numId="34">
    <w:abstractNumId w:val="32"/>
  </w:num>
  <w:num w:numId="35">
    <w:abstractNumId w:val="22"/>
  </w:num>
  <w:num w:numId="36">
    <w:abstractNumId w:val="14"/>
  </w:num>
  <w:num w:numId="37">
    <w:abstractNumId w:val="15"/>
  </w:num>
  <w:num w:numId="38">
    <w:abstractNumId w:val="52"/>
  </w:num>
  <w:num w:numId="39">
    <w:abstractNumId w:val="45"/>
  </w:num>
  <w:num w:numId="40">
    <w:abstractNumId w:val="42"/>
  </w:num>
  <w:num w:numId="41">
    <w:abstractNumId w:val="40"/>
  </w:num>
  <w:num w:numId="42">
    <w:abstractNumId w:val="31"/>
  </w:num>
  <w:num w:numId="43">
    <w:abstractNumId w:val="6"/>
  </w:num>
  <w:num w:numId="44">
    <w:abstractNumId w:val="18"/>
  </w:num>
  <w:num w:numId="45">
    <w:abstractNumId w:val="30"/>
  </w:num>
  <w:num w:numId="46">
    <w:abstractNumId w:val="19"/>
  </w:num>
  <w:num w:numId="47">
    <w:abstractNumId w:val="16"/>
  </w:num>
  <w:num w:numId="48">
    <w:abstractNumId w:val="29"/>
  </w:num>
  <w:num w:numId="49">
    <w:abstractNumId w:val="51"/>
  </w:num>
  <w:num w:numId="50">
    <w:abstractNumId w:val="25"/>
  </w:num>
  <w:num w:numId="51">
    <w:abstractNumId w:val="41"/>
  </w:num>
  <w:num w:numId="52">
    <w:abstractNumId w:val="33"/>
  </w:num>
  <w:num w:numId="53">
    <w:abstractNumId w:val="38"/>
  </w:num>
  <w:num w:numId="54">
    <w:abstractNumId w:val="2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A08" w:allStyles="0" w:alternateStyleNames="0" w:clearFormatting="1" w:customStyles="0" w:directFormattingOnNumbering="0" w:directFormattingOnParagraphs="1" w:directFormattingOnRuns="1" w:directFormattingOnTables="1" w:headingStyles="0" w:latentStyles="0" w:numberingStyles="0" w:stylesInUse="1" w:tableStyles="0" w:top3HeadingStyles="1" w:visibleStyles="0"/>
  <w:trackRevisions/>
  <w:doNotTrackMoves/>
  <w:defaultTabStop w:val="567"/>
  <w:displayHorizontalDrawingGridEvery w:val="0"/>
  <w:displayVerticalDrawingGridEvery w:val="0"/>
  <w:doNotUseMarginsForDrawingGridOrigin/>
  <w:noPunctuationKerning/>
  <w:characterSpacingControl w:val="doNotCompress"/>
  <w:endnotePr>
    <w:numFmt w:val="decimal"/>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BC7"/>
    <w:rsid w:val="00015964"/>
    <w:rsid w:val="00025514"/>
    <w:rsid w:val="00053D4E"/>
    <w:rsid w:val="000931BD"/>
    <w:rsid w:val="000B7FA1"/>
    <w:rsid w:val="000D36BF"/>
    <w:rsid w:val="000E166C"/>
    <w:rsid w:val="000F206C"/>
    <w:rsid w:val="000F449F"/>
    <w:rsid w:val="00111AB1"/>
    <w:rsid w:val="00112C07"/>
    <w:rsid w:val="00122112"/>
    <w:rsid w:val="001717F6"/>
    <w:rsid w:val="001975B2"/>
    <w:rsid w:val="001A5A0E"/>
    <w:rsid w:val="001A74CF"/>
    <w:rsid w:val="001B3A36"/>
    <w:rsid w:val="001D2262"/>
    <w:rsid w:val="001E72CB"/>
    <w:rsid w:val="002061F5"/>
    <w:rsid w:val="00225A4A"/>
    <w:rsid w:val="00250E07"/>
    <w:rsid w:val="0026353A"/>
    <w:rsid w:val="00263967"/>
    <w:rsid w:val="002643BF"/>
    <w:rsid w:val="002733DF"/>
    <w:rsid w:val="0029428A"/>
    <w:rsid w:val="002A131A"/>
    <w:rsid w:val="002A4F60"/>
    <w:rsid w:val="002A517D"/>
    <w:rsid w:val="002D53DA"/>
    <w:rsid w:val="002F701D"/>
    <w:rsid w:val="00301E4B"/>
    <w:rsid w:val="00307CFE"/>
    <w:rsid w:val="00322871"/>
    <w:rsid w:val="00331428"/>
    <w:rsid w:val="00345EBF"/>
    <w:rsid w:val="00364274"/>
    <w:rsid w:val="0038512F"/>
    <w:rsid w:val="003A536A"/>
    <w:rsid w:val="003A5E55"/>
    <w:rsid w:val="003B4ED6"/>
    <w:rsid w:val="003B601A"/>
    <w:rsid w:val="003C1B45"/>
    <w:rsid w:val="003D7A28"/>
    <w:rsid w:val="003E646B"/>
    <w:rsid w:val="003F502F"/>
    <w:rsid w:val="00406565"/>
    <w:rsid w:val="0040771E"/>
    <w:rsid w:val="004329CB"/>
    <w:rsid w:val="00432A01"/>
    <w:rsid w:val="0044321E"/>
    <w:rsid w:val="00447015"/>
    <w:rsid w:val="00456E09"/>
    <w:rsid w:val="004670DA"/>
    <w:rsid w:val="004770EE"/>
    <w:rsid w:val="00487EB3"/>
    <w:rsid w:val="004A61E4"/>
    <w:rsid w:val="004B6FCF"/>
    <w:rsid w:val="004C67B9"/>
    <w:rsid w:val="004C6891"/>
    <w:rsid w:val="004C6E7A"/>
    <w:rsid w:val="004D5AB7"/>
    <w:rsid w:val="004D694C"/>
    <w:rsid w:val="004E206B"/>
    <w:rsid w:val="004E434B"/>
    <w:rsid w:val="004E6761"/>
    <w:rsid w:val="00522145"/>
    <w:rsid w:val="0052583A"/>
    <w:rsid w:val="0053133F"/>
    <w:rsid w:val="00535D79"/>
    <w:rsid w:val="00556247"/>
    <w:rsid w:val="005777FA"/>
    <w:rsid w:val="00586BF0"/>
    <w:rsid w:val="00591F9E"/>
    <w:rsid w:val="0059588F"/>
    <w:rsid w:val="005A4475"/>
    <w:rsid w:val="005A58F0"/>
    <w:rsid w:val="005B0AFC"/>
    <w:rsid w:val="005B14D5"/>
    <w:rsid w:val="005C3B6E"/>
    <w:rsid w:val="005D28ED"/>
    <w:rsid w:val="005E0D11"/>
    <w:rsid w:val="005F2C10"/>
    <w:rsid w:val="00612314"/>
    <w:rsid w:val="00612E0E"/>
    <w:rsid w:val="00631AFD"/>
    <w:rsid w:val="00632D60"/>
    <w:rsid w:val="006363B8"/>
    <w:rsid w:val="00646A3B"/>
    <w:rsid w:val="00674893"/>
    <w:rsid w:val="00674B24"/>
    <w:rsid w:val="0068404D"/>
    <w:rsid w:val="006930B8"/>
    <w:rsid w:val="006E1F4F"/>
    <w:rsid w:val="006E713B"/>
    <w:rsid w:val="006F0A0A"/>
    <w:rsid w:val="007062EA"/>
    <w:rsid w:val="00710F7E"/>
    <w:rsid w:val="0071688B"/>
    <w:rsid w:val="007227D1"/>
    <w:rsid w:val="00724261"/>
    <w:rsid w:val="007463B7"/>
    <w:rsid w:val="00774BD1"/>
    <w:rsid w:val="00797802"/>
    <w:rsid w:val="00797A04"/>
    <w:rsid w:val="007A2759"/>
    <w:rsid w:val="007A788A"/>
    <w:rsid w:val="007C3927"/>
    <w:rsid w:val="007D6C71"/>
    <w:rsid w:val="007D6E77"/>
    <w:rsid w:val="007E2BC7"/>
    <w:rsid w:val="007F0B21"/>
    <w:rsid w:val="00813A0E"/>
    <w:rsid w:val="00833535"/>
    <w:rsid w:val="00833770"/>
    <w:rsid w:val="008536F6"/>
    <w:rsid w:val="00853CC1"/>
    <w:rsid w:val="008B2C0B"/>
    <w:rsid w:val="008C7012"/>
    <w:rsid w:val="008F1223"/>
    <w:rsid w:val="0091269A"/>
    <w:rsid w:val="00931BED"/>
    <w:rsid w:val="0096400E"/>
    <w:rsid w:val="009674F1"/>
    <w:rsid w:val="00983FAC"/>
    <w:rsid w:val="00991E44"/>
    <w:rsid w:val="00995E52"/>
    <w:rsid w:val="009A05FF"/>
    <w:rsid w:val="009B1645"/>
    <w:rsid w:val="009E319B"/>
    <w:rsid w:val="009F07B3"/>
    <w:rsid w:val="009F4AD3"/>
    <w:rsid w:val="009F4BEA"/>
    <w:rsid w:val="00A00E05"/>
    <w:rsid w:val="00A14273"/>
    <w:rsid w:val="00A1687E"/>
    <w:rsid w:val="00A348F2"/>
    <w:rsid w:val="00A55BF5"/>
    <w:rsid w:val="00A81C6A"/>
    <w:rsid w:val="00A85261"/>
    <w:rsid w:val="00A93A09"/>
    <w:rsid w:val="00AA4FBF"/>
    <w:rsid w:val="00AA6238"/>
    <w:rsid w:val="00AB5C0A"/>
    <w:rsid w:val="00AB76E1"/>
    <w:rsid w:val="00AD264E"/>
    <w:rsid w:val="00B0742A"/>
    <w:rsid w:val="00B13443"/>
    <w:rsid w:val="00B13AE0"/>
    <w:rsid w:val="00B1422A"/>
    <w:rsid w:val="00B15B8D"/>
    <w:rsid w:val="00B312CE"/>
    <w:rsid w:val="00B428AB"/>
    <w:rsid w:val="00B43DA7"/>
    <w:rsid w:val="00B56EE2"/>
    <w:rsid w:val="00B93304"/>
    <w:rsid w:val="00B93C4D"/>
    <w:rsid w:val="00BA0BF0"/>
    <w:rsid w:val="00BB262F"/>
    <w:rsid w:val="00BE5B9E"/>
    <w:rsid w:val="00BF56D5"/>
    <w:rsid w:val="00BF7A31"/>
    <w:rsid w:val="00C40AF2"/>
    <w:rsid w:val="00C47555"/>
    <w:rsid w:val="00C47E15"/>
    <w:rsid w:val="00C65781"/>
    <w:rsid w:val="00C660F4"/>
    <w:rsid w:val="00C75DA9"/>
    <w:rsid w:val="00C86598"/>
    <w:rsid w:val="00CA64B3"/>
    <w:rsid w:val="00CD002A"/>
    <w:rsid w:val="00CD4137"/>
    <w:rsid w:val="00CE63D9"/>
    <w:rsid w:val="00D10858"/>
    <w:rsid w:val="00D12E48"/>
    <w:rsid w:val="00D560C6"/>
    <w:rsid w:val="00D635A1"/>
    <w:rsid w:val="00D63F17"/>
    <w:rsid w:val="00D66FD3"/>
    <w:rsid w:val="00D867BE"/>
    <w:rsid w:val="00DA0CB5"/>
    <w:rsid w:val="00DA17AB"/>
    <w:rsid w:val="00DC11DC"/>
    <w:rsid w:val="00DC370E"/>
    <w:rsid w:val="00E0415D"/>
    <w:rsid w:val="00E05420"/>
    <w:rsid w:val="00E51485"/>
    <w:rsid w:val="00E6451F"/>
    <w:rsid w:val="00E65908"/>
    <w:rsid w:val="00E73BC1"/>
    <w:rsid w:val="00E80129"/>
    <w:rsid w:val="00E832F9"/>
    <w:rsid w:val="00E84AEF"/>
    <w:rsid w:val="00E9649C"/>
    <w:rsid w:val="00EA1DAE"/>
    <w:rsid w:val="00EA213D"/>
    <w:rsid w:val="00EB4B92"/>
    <w:rsid w:val="00EC0863"/>
    <w:rsid w:val="00EC2EA6"/>
    <w:rsid w:val="00EC73B5"/>
    <w:rsid w:val="00ED13D7"/>
    <w:rsid w:val="00ED7534"/>
    <w:rsid w:val="00EF3129"/>
    <w:rsid w:val="00F32DEA"/>
    <w:rsid w:val="00F55DEE"/>
    <w:rsid w:val="00F84CEC"/>
    <w:rsid w:val="00F90D4E"/>
    <w:rsid w:val="00FA0C0B"/>
    <w:rsid w:val="00FA1C06"/>
    <w:rsid w:val="00FD1BA3"/>
    <w:rsid w:val="00FE1E9F"/>
    <w:rsid w:val="1C53FF4C"/>
  </w:rsids>
  <w:docVars>
    <w:docVar w:name="Registered" w:val="-1"/>
    <w:docVar w:name="Version" w:val="0"/>
  </w:docVars>
  <m:mathPr>
    <m:mathFont m:val="Cambria Math"/>
    <m:wrapRight/>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5:chartTrackingRefBased/>
  <w15:docId w15:val="{403C19E8-AA47-47BD-82D6-42F0D13C9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uiPriority="39"/>
    <w:lsdException w:name="annotation text" w:qFormat="1"/>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1BD"/>
    <w:pPr>
      <w:tabs>
        <w:tab w:val="left" w:pos="567"/>
      </w:tabs>
    </w:pPr>
    <w:rPr>
      <w:rFonts w:eastAsia="Times New Roman"/>
      <w:noProof/>
      <w:sz w:val="22"/>
      <w:lang w:val="en-GB" w:bidi="ar-SA"/>
    </w:rPr>
  </w:style>
  <w:style w:type="paragraph" w:styleId="Heading3">
    <w:name w:val="heading 3"/>
    <w:next w:val="Normal"/>
    <w:link w:val="Heading3Char"/>
    <w:qFormat/>
    <w:pPr>
      <w:keepNext/>
      <w:keepLines/>
      <w:spacing w:after="60"/>
      <w:outlineLvl w:val="2"/>
    </w:pPr>
    <w:rPr>
      <w:rFonts w:ascii="Arial" w:eastAsia="Times New Roman" w:hAnsi="Arial"/>
      <w:sz w:val="24"/>
      <w:u w:val="single"/>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lear" w:pos="567"/>
        <w:tab w:val="center" w:pos="4513"/>
        <w:tab w:val="right" w:pos="9026"/>
      </w:tabs>
    </w:pPr>
    <w:rPr>
      <w:lang w:val="x-none"/>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pPr>
    <w:rPr>
      <w:i/>
      <w:color w:val="008000"/>
    </w:rPr>
  </w:style>
  <w:style w:type="paragraph" w:styleId="CommentText">
    <w:name w:val="annotation text"/>
    <w:aliases w:val="- H19,Annotationtext,Comment Text Char Char,Comment Text Char Char Char Char,Comment Text Char Char1,Comment Text Char1 Char Char"/>
    <w:basedOn w:val="Normal"/>
    <w:link w:val="CommentTextChar"/>
    <w:qFormat/>
    <w:rPr>
      <w:sz w:val="20"/>
      <w:lang w:val="x-none"/>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noProof w:val="0"/>
      <w:sz w:val="18"/>
      <w:szCs w:val="18"/>
      <w:lang w:eastAsia="en-GB"/>
    </w:rPr>
  </w:style>
  <w:style w:type="character" w:customStyle="1" w:styleId="BodytextAgencyChar">
    <w:name w:val="Body text (Agency) Char"/>
    <w:link w:val="BodytextAgency"/>
    <w:qFormat/>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noProof w:val="0"/>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bidi="ar-SA"/>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customStyle="1" w:styleId="FooterChar">
    <w:name w:val="Footer Char"/>
    <w:link w:val="Footer"/>
    <w:uiPriority w:val="99"/>
    <w:rPr>
      <w:rFonts w:eastAsia="Times New Roman"/>
      <w:noProof/>
      <w:sz w:val="22"/>
      <w:lang w:eastAsia="en-US"/>
    </w:rPr>
  </w:style>
  <w:style w:type="paragraph" w:styleId="CommentSubject">
    <w:name w:val="annotation subject"/>
    <w:basedOn w:val="Normal"/>
    <w:next w:val="Normal"/>
    <w:link w:val="CommentSubjectChar"/>
    <w:rPr>
      <w:b/>
      <w:bCs/>
      <w:noProof w:val="0"/>
      <w:sz w:val="20"/>
      <w:lang w:val="x-none"/>
    </w:rPr>
  </w:style>
  <w:style w:type="character" w:customStyle="1" w:styleId="CommentTextChar">
    <w:name w:val="Comment Text Char"/>
    <w:aliases w:val="- H19 Char,Annotationtext Char,Comment Text Char Char Char,Comment Text Char Char Char Char Char,Comment Text Char Char1 Char,Comment Text Char1 Char Char Char"/>
    <w:link w:val="CommentText"/>
    <w:rPr>
      <w:rFonts w:eastAsia="Times New Roman"/>
      <w:noProof/>
      <w:lang w:val="x-none" w:bidi="ar-SA"/>
    </w:rPr>
  </w:style>
  <w:style w:type="character" w:customStyle="1" w:styleId="CommentSubjectChar">
    <w:name w:val="Comment Subject Char"/>
    <w:link w:val="CommentSubject"/>
    <w:rPr>
      <w:rFonts w:eastAsia="Times New Roman"/>
      <w:b/>
      <w:bCs/>
      <w:lang w:val="x-none"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Bayer Caption,Caption 1,Caption 3,Caption Char Char,Caption Char Char Char,Caption Char Char Char Char Char Char,Caption Char1 + 8 pt,Caption Char1 Char,Caption Table,Caption Table...,Caption-FUSA,Char,Not B....,Ref,appendix,appendix Cha,c"/>
    <w:basedOn w:val="Normal"/>
    <w:next w:val="Normal"/>
    <w:link w:val="CaptionChar"/>
    <w:qFormat/>
    <w:pPr>
      <w:keepNext/>
      <w:tabs>
        <w:tab w:val="left" w:pos="1152"/>
      </w:tabs>
      <w:spacing w:before="60" w:after="60"/>
      <w:ind w:left="567" w:hanging="567"/>
    </w:pPr>
    <w:rPr>
      <w:b/>
      <w:bCs/>
      <w:noProof w:val="0"/>
      <w:sz w:val="20"/>
      <w:lang w:val="en-US"/>
    </w:rPr>
  </w:style>
  <w:style w:type="paragraph" w:customStyle="1" w:styleId="TableFootnote">
    <w:name w:val="Table Footnote"/>
    <w:qFormat/>
    <w:pPr>
      <w:tabs>
        <w:tab w:val="left" w:pos="360"/>
      </w:tabs>
      <w:ind w:left="360" w:hanging="360"/>
    </w:pPr>
    <w:rPr>
      <w:rFonts w:eastAsia="Times New Roman"/>
      <w:sz w:val="16"/>
      <w:lang w:bidi="ar-SA"/>
    </w:rPr>
  </w:style>
  <w:style w:type="paragraph" w:customStyle="1" w:styleId="PABullet1">
    <w:name w:val="PA Bullet 1"/>
    <w:pPr>
      <w:numPr>
        <w:numId w:val="1"/>
      </w:numPr>
      <w:tabs>
        <w:tab w:val="num" w:pos="720"/>
        <w:tab w:val="clear" w:pos="1296"/>
      </w:tabs>
      <w:ind w:left="1080" w:hanging="720"/>
    </w:pPr>
    <w:rPr>
      <w:rFonts w:eastAsia="Times New Roman"/>
      <w:sz w:val="24"/>
      <w:lang w:bidi="ar-SA"/>
    </w:rPr>
  </w:style>
  <w:style w:type="paragraph" w:customStyle="1" w:styleId="BodyText12">
    <w:name w:val="Body Text 12"/>
    <w:link w:val="BodyText12Char"/>
    <w:qFormat/>
    <w:pPr>
      <w:spacing w:after="240" w:line="264" w:lineRule="auto"/>
      <w:jc w:val="both"/>
    </w:pPr>
    <w:rPr>
      <w:rFonts w:eastAsia="Times New Roman"/>
      <w:sz w:val="24"/>
      <w:lang w:bidi="ar-SA"/>
    </w:rPr>
  </w:style>
  <w:style w:type="character" w:customStyle="1" w:styleId="BodyText12Char">
    <w:name w:val="Body Text 12 Char"/>
    <w:link w:val="BodyText12"/>
    <w:locked/>
    <w:rPr>
      <w:rFonts w:eastAsia="Times New Roman"/>
      <w:sz w:val="24"/>
      <w:lang w:val="en-US" w:eastAsia="en-US" w:bidi="ar-SA"/>
    </w:rPr>
  </w:style>
  <w:style w:type="paragraph" w:styleId="NormalWeb">
    <w:name w:val="Normal (Web)"/>
    <w:basedOn w:val="Normal"/>
    <w:rPr>
      <w:sz w:val="24"/>
      <w:szCs w:val="24"/>
    </w:rPr>
  </w:style>
  <w:style w:type="paragraph" w:styleId="Revision">
    <w:name w:val="Revision"/>
    <w:hidden/>
    <w:uiPriority w:val="99"/>
    <w:semiHidden/>
    <w:rPr>
      <w:rFonts w:eastAsia="Times New Roman"/>
      <w:sz w:val="22"/>
      <w:lang w:val="en-GB" w:bidi="ar-SA"/>
    </w:rPr>
  </w:style>
  <w:style w:type="paragraph" w:customStyle="1" w:styleId="Bullet12-1">
    <w:name w:val="Bullet 12-1"/>
    <w:qFormat/>
    <w:pPr>
      <w:numPr>
        <w:numId w:val="2"/>
      </w:numPr>
      <w:spacing w:after="120"/>
      <w:jc w:val="both"/>
    </w:pPr>
    <w:rPr>
      <w:rFonts w:eastAsia="Times New Roman"/>
      <w:sz w:val="24"/>
      <w:lang w:bidi="ar-SA"/>
    </w:rPr>
  </w:style>
  <w:style w:type="character" w:styleId="FollowedHyperlink">
    <w:name w:val="FollowedHyperlink"/>
    <w:rPr>
      <w:color w:val="800080"/>
      <w:u w:val="single"/>
    </w:rPr>
  </w:style>
  <w:style w:type="paragraph" w:customStyle="1" w:styleId="StyleBoldCentered">
    <w:name w:val="Style Bold Centered"/>
    <w:basedOn w:val="Normal"/>
    <w:pPr>
      <w:jc w:val="center"/>
    </w:pPr>
    <w:rPr>
      <w:b/>
      <w:bCs/>
    </w:rPr>
  </w:style>
  <w:style w:type="paragraph" w:customStyle="1" w:styleId="StyleCentered">
    <w:name w:val="Style Centered"/>
    <w:basedOn w:val="Normal"/>
    <w:pPr>
      <w:jc w:val="center"/>
    </w:pPr>
  </w:style>
  <w:style w:type="character" w:styleId="CommentReference">
    <w:name w:val="annotation reference"/>
    <w:aliases w:val="-H18"/>
    <w:uiPriority w:val="99"/>
    <w:rPr>
      <w:sz w:val="16"/>
      <w:szCs w:val="16"/>
    </w:rPr>
  </w:style>
  <w:style w:type="paragraph" w:customStyle="1" w:styleId="BulletIndent4">
    <w:name w:val="Bullet Indent 4 (•)"/>
    <w:pPr>
      <w:tabs>
        <w:tab w:val="num" w:pos="360"/>
      </w:tabs>
      <w:spacing w:after="120"/>
      <w:ind w:left="360" w:hanging="360"/>
      <w:jc w:val="both"/>
    </w:pPr>
    <w:rPr>
      <w:rFonts w:eastAsia="Times New Roman"/>
      <w:sz w:val="24"/>
      <w:lang w:bidi="ar-SA"/>
    </w:rPr>
  </w:style>
  <w:style w:type="paragraph" w:customStyle="1" w:styleId="Default">
    <w:name w:val="Default"/>
    <w:pPr>
      <w:autoSpaceDE w:val="0"/>
      <w:autoSpaceDN w:val="0"/>
      <w:adjustRightInd w:val="0"/>
    </w:pPr>
    <w:rPr>
      <w:color w:val="000000"/>
      <w:sz w:val="24"/>
      <w:szCs w:val="24"/>
      <w:lang w:val="en-GB" w:eastAsia="en-GB" w:bidi="ar-SA"/>
    </w:rPr>
  </w:style>
  <w:style w:type="paragraph" w:customStyle="1" w:styleId="BulletSect16">
    <w:name w:val="BulletSect16"/>
    <w:pPr>
      <w:tabs>
        <w:tab w:val="num" w:pos="2880"/>
      </w:tabs>
      <w:ind w:left="2880" w:hanging="360"/>
    </w:pPr>
    <w:rPr>
      <w:rFonts w:eastAsia="Times New Roman"/>
      <w:sz w:val="24"/>
      <w:lang w:bidi="ar-SA"/>
    </w:rPr>
  </w:style>
  <w:style w:type="paragraph" w:customStyle="1" w:styleId="BodyTextBold">
    <w:name w:val="Body Text (Bold)"/>
    <w:basedOn w:val="BodyText"/>
    <w:qFormat/>
    <w:pPr>
      <w:keepNext/>
      <w:spacing w:after="200"/>
      <w:jc w:val="both"/>
    </w:pPr>
    <w:rPr>
      <w:rFonts w:ascii="Times New Roman Bold" w:hAnsi="Times New Roman Bold"/>
      <w:b/>
      <w:i w:val="0"/>
      <w:noProof w:val="0"/>
      <w:color w:val="auto"/>
      <w:sz w:val="24"/>
      <w:lang w:val="x-none" w:eastAsia="x-none"/>
    </w:rPr>
  </w:style>
  <w:style w:type="paragraph" w:styleId="EndnoteText">
    <w:name w:val="endnote text"/>
    <w:basedOn w:val="Normal"/>
    <w:link w:val="EndnoteTextChar"/>
    <w:pPr>
      <w:tabs>
        <w:tab w:val="clear" w:pos="567"/>
      </w:tabs>
    </w:pPr>
    <w:rPr>
      <w:noProof w:val="0"/>
      <w:sz w:val="20"/>
      <w:lang w:val="en-US"/>
    </w:rPr>
  </w:style>
  <w:style w:type="character" w:customStyle="1" w:styleId="EndnoteTextChar">
    <w:name w:val="Endnote Text Char"/>
    <w:link w:val="EndnoteText"/>
    <w:rPr>
      <w:rFonts w:eastAsia="Times New Roman"/>
      <w:lang w:val="en-US" w:eastAsia="en-US"/>
    </w:rPr>
  </w:style>
  <w:style w:type="character" w:styleId="EndnoteReference">
    <w:name w:val="endnote reference"/>
    <w:rPr>
      <w:vertAlign w:val="superscript"/>
    </w:rPr>
  </w:style>
  <w:style w:type="paragraph" w:customStyle="1" w:styleId="TableText">
    <w:name w:val="Table Text"/>
    <w:qFormat/>
    <w:pPr>
      <w:tabs>
        <w:tab w:val="left" w:pos="288"/>
        <w:tab w:val="left" w:pos="576"/>
        <w:tab w:val="left" w:pos="864"/>
      </w:tabs>
    </w:pPr>
    <w:rPr>
      <w:rFonts w:eastAsia="Times New Roman"/>
      <w:lang w:bidi="ar-SA"/>
    </w:rPr>
  </w:style>
  <w:style w:type="character" w:customStyle="1" w:styleId="UnresolvedMention">
    <w:name w:val="Unresolved Mention"/>
    <w:uiPriority w:val="99"/>
    <w:semiHidden/>
    <w:unhideWhenUsed/>
    <w:rPr>
      <w:color w:val="808080"/>
      <w:shd w:val="clear" w:color="auto" w:fill="E6E6E6"/>
    </w:rPr>
  </w:style>
  <w:style w:type="paragraph" w:customStyle="1" w:styleId="TableParagraph">
    <w:name w:val="Table Paragraph"/>
    <w:basedOn w:val="Normal"/>
    <w:uiPriority w:val="1"/>
    <w:pPr>
      <w:tabs>
        <w:tab w:val="clear" w:pos="567"/>
      </w:tabs>
    </w:pPr>
    <w:rPr>
      <w:rFonts w:ascii="Calibri" w:eastAsia="Calibri" w:hAnsi="Calibri" w:cs="Calibri"/>
      <w:noProof w:val="0"/>
      <w:szCs w:val="22"/>
      <w:lang w:val="en-AU" w:eastAsia="en-AU"/>
    </w:rPr>
  </w:style>
  <w:style w:type="paragraph" w:customStyle="1" w:styleId="BodyText11Indent">
    <w:name w:val="Body Text 11 Indent"/>
    <w:pPr>
      <w:spacing w:after="180"/>
      <w:ind w:left="432"/>
      <w:jc w:val="both"/>
    </w:pPr>
    <w:rPr>
      <w:rFonts w:eastAsia="Times New Roman"/>
      <w:sz w:val="22"/>
      <w:lang w:bidi="ar-SA"/>
    </w:rPr>
  </w:style>
  <w:style w:type="paragraph" w:styleId="ListParagraph">
    <w:name w:val="List Paragraph"/>
    <w:basedOn w:val="Normal"/>
    <w:uiPriority w:val="34"/>
    <w:qFormat/>
    <w:pPr>
      <w:tabs>
        <w:tab w:val="clear" w:pos="567"/>
      </w:tabs>
      <w:ind w:left="720"/>
      <w:contextualSpacing/>
      <w:jc w:val="both"/>
    </w:pPr>
    <w:rPr>
      <w:noProof w:val="0"/>
      <w:sz w:val="24"/>
      <w:lang w:val="en-US"/>
    </w:rPr>
  </w:style>
  <w:style w:type="character" w:customStyle="1" w:styleId="CaptionChar">
    <w:name w:val="Caption Char"/>
    <w:aliases w:val="... Char,Bayer Caption Char,Caption 1 Char,Caption 3 Char,Caption Char Char Char Char,Caption Char Char Char Char Char Char Char,Caption Char Char Char1,Caption Char1 + 8 pt Char,Caption Char1 Char Char,Caption Table Char,Caption-FUSA Char"/>
    <w:link w:val="Caption"/>
    <w:rPr>
      <w:rFonts w:eastAsia="Times New Roman"/>
      <w:b/>
      <w:bCs/>
      <w:lang w:bidi="ar-SA"/>
    </w:rPr>
  </w:style>
  <w:style w:type="character" w:customStyle="1" w:styleId="Heading3Char">
    <w:name w:val="Heading 3 Char"/>
    <w:link w:val="Heading3"/>
    <w:rPr>
      <w:rFonts w:ascii="Arial" w:eastAsia="Times New Roman" w:hAnsi="Arial"/>
      <w:sz w:val="24"/>
      <w:u w:val="single"/>
    </w:rPr>
  </w:style>
  <w:style w:type="paragraph" w:customStyle="1" w:styleId="Basic12">
    <w:name w:val="Basic 12"/>
    <w:qFormat/>
    <w:pPr>
      <w:spacing w:after="200"/>
      <w:jc w:val="both"/>
    </w:pPr>
    <w:rPr>
      <w:rFonts w:eastAsia="Times New Roman"/>
      <w:sz w:val="24"/>
      <w:lang w:bidi="ar-SA"/>
    </w:rPr>
  </w:style>
  <w:style w:type="paragraph" w:styleId="NoSpacing">
    <w:name w:val="No Spacing"/>
    <w:link w:val="NoSpacingChar"/>
    <w:uiPriority w:val="1"/>
    <w:qFormat/>
    <w:rPr>
      <w:rFonts w:ascii="Calibri" w:eastAsia="Calibri" w:hAnsi="Calibri"/>
      <w:sz w:val="22"/>
      <w:szCs w:val="22"/>
      <w:lang w:bidi="ar-SA"/>
    </w:rPr>
  </w:style>
  <w:style w:type="character" w:customStyle="1" w:styleId="mcenoneditable">
    <w:name w:val="mcenoneditable"/>
  </w:style>
  <w:style w:type="paragraph" w:styleId="TOC5">
    <w:name w:val="toc 5"/>
    <w:uiPriority w:val="39"/>
    <w:pPr>
      <w:tabs>
        <w:tab w:val="left" w:pos="1267"/>
        <w:tab w:val="right" w:leader="dot" w:pos="9360"/>
      </w:tabs>
      <w:ind w:left="1267" w:right="720" w:hanging="1267"/>
    </w:pPr>
    <w:rPr>
      <w:rFonts w:ascii="Arial" w:eastAsia="Times New Roman" w:hAnsi="Arial"/>
      <w:szCs w:val="24"/>
      <w:lang w:bidi="ar-SA"/>
    </w:rPr>
  </w:style>
  <w:style w:type="character" w:customStyle="1" w:styleId="Ninguno">
    <w:name w:val="Ninguno"/>
    <w:rPr>
      <w:lang w:val="en-US"/>
    </w:rPr>
  </w:style>
  <w:style w:type="character" w:customStyle="1" w:styleId="NoSpacingChar">
    <w:name w:val="No Spacing Char"/>
    <w:link w:val="NoSpacing"/>
    <w:uiPriority w:val="1"/>
    <w:rPr>
      <w:rFonts w:ascii="Calibri" w:eastAsia="Calibri" w:hAnsi="Calibri"/>
      <w:sz w:val="22"/>
      <w:szCs w:val="22"/>
    </w:rPr>
  </w:style>
  <w:style w:type="character" w:customStyle="1" w:styleId="HeaderChar">
    <w:name w:val="Header Char"/>
    <w:link w:val="Header"/>
    <w:uiPriority w:val="99"/>
    <w:rPr>
      <w:rFonts w:ascii="Arial" w:eastAsia="Times New Roman" w:hAnsi="Arial"/>
      <w:noProof/>
      <w:lang w:val="en-GB" w:bidi="ar-SA"/>
    </w:rPr>
  </w:style>
  <w:style w:type="paragraph" w:customStyle="1" w:styleId="BodyText120">
    <w:name w:val="BodyText12"/>
    <w:pPr>
      <w:spacing w:after="200" w:line="300" w:lineRule="auto"/>
      <w:jc w:val="both"/>
    </w:pPr>
    <w:rPr>
      <w:rFonts w:eastAsia="Times New Roman"/>
      <w:sz w:val="24"/>
      <w:lang w:bidi="ar-SA"/>
    </w:rPr>
  </w:style>
  <w:style w:type="table" w:customStyle="1" w:styleId="TableGrid2">
    <w:name w:val="Table Grid2"/>
    <w:basedOn w:val="TableNormal"/>
    <w:next w:val="TableGrid"/>
    <w:uiPriority w:val="59"/>
    <w:rPr>
      <w:rFonts w:ascii="Calibri" w:eastAsia="Calibri" w:hAnsi="Calibri" w:cs="Arial"/>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hyperlink" Target="https://sideeffects.health.gov.il/" TargetMode="External" /><Relationship Id="rId12" Type="http://schemas.openxmlformats.org/officeDocument/2006/relationships/image" Target="media/image1.png" /><Relationship Id="rId13" Type="http://schemas.openxmlformats.org/officeDocument/2006/relationships/image" Target="media/image2.jpeg" /><Relationship Id="rId14" Type="http://schemas.openxmlformats.org/officeDocument/2006/relationships/image" Target="../../../../../../../../ctriolo/AppData/Local/Packages/Microsoft.Windows.Photos_8wekyb3d8bbwe/TempState/ShareServiceTempFolder/GEFOS01A%20(007).jpeg" TargetMode="External" /><Relationship Id="rId15" Type="http://schemas.openxmlformats.org/officeDocument/2006/relationships/image" Target="media/image3.png" /><Relationship Id="rId16" Type="http://schemas.openxmlformats.org/officeDocument/2006/relationships/image" Target="media/image4.jpeg" /><Relationship Id="rId17" Type="http://schemas.openxmlformats.org/officeDocument/2006/relationships/image" Target="media/image5.png" /><Relationship Id="rId18" Type="http://schemas.openxmlformats.org/officeDocument/2006/relationships/image" Target="media/image6.png" /><Relationship Id="rId19" Type="http://schemas.openxmlformats.org/officeDocument/2006/relationships/image" Target="media/image7.png" /><Relationship Id="rId2" Type="http://schemas.openxmlformats.org/officeDocument/2006/relationships/webSettings" Target="webSettings.xml" /><Relationship Id="rId20" Type="http://schemas.openxmlformats.org/officeDocument/2006/relationships/image" Target="media/image8.png" /><Relationship Id="rId21" Type="http://schemas.openxmlformats.org/officeDocument/2006/relationships/image" Target="media/image9.png" /><Relationship Id="rId22" Type="http://schemas.openxmlformats.org/officeDocument/2006/relationships/footer" Target="footer1.xml" /><Relationship Id="rId23" Type="http://schemas.openxmlformats.org/officeDocument/2006/relationships/footer" Target="footer2.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66C4FB0C246840BAD6B965F8A186A6" ma:contentTypeVersion="8" ma:contentTypeDescription="Create a new document." ma:contentTypeScope="" ma:versionID="5bdefe3b1efa0d2aec5bde8d07ce7051">
  <xsd:schema xmlns:xsd="http://www.w3.org/2001/XMLSchema" xmlns:xs="http://www.w3.org/2001/XMLSchema" xmlns:p="http://schemas.microsoft.com/office/2006/metadata/properties" xmlns:ns3="a7f1b2ce-0152-4638-a0cb-eafad1900f6f" targetNamespace="http://schemas.microsoft.com/office/2006/metadata/properties" ma:root="true" ma:fieldsID="2650b052cf062fbdf61c730102a6ba5a" ns3:_="">
    <xsd:import namespace="a7f1b2ce-0152-4638-a0cb-eafad1900f6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1b2ce-0152-4638-a0cb-eafad1900f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סוג תוכן- הסבה" ma:contentTypeID="0x0101008DBCC8C59D6AEF44ABCBEC7243E7B0B502007A03DCBBE6509F49A7C466CF1EC07BC9" ma:contentTypeVersion="20" ma:contentTypeDescription="צור מסמך חדש." ma:contentTypeScope="" ma:versionID="8de9a254180ec43f215a7181ccc3a581">
  <xsd:schema xmlns:xsd="http://www.w3.org/2001/XMLSchema" xmlns:xs="http://www.w3.org/2001/XMLSchema" xmlns:p="http://schemas.microsoft.com/office/2006/metadata/properties" xmlns:ns2="dea4c6fd-81d3-45cd-9c6e-532faaa0cf23" targetNamespace="http://schemas.microsoft.com/office/2006/metadata/properties" ma:root="true" ma:fieldsID="bd9097fcf535fff2aeb028f6b030ea04" ns2:_="">
    <xsd:import namespace="dea4c6fd-81d3-45cd-9c6e-532faaa0cf23"/>
    <xsd:element name="properties">
      <xsd:complexType>
        <xsd:sequence>
          <xsd:element name="documentManagement">
            <xsd:complexType>
              <xsd:all>
                <xsd:element ref="ns2:AutoNumber" minOccurs="0"/>
                <xsd:element ref="ns2:SDCategories" minOccurs="0"/>
                <xsd:element ref="ns2:SDCategoryID" minOccurs="0"/>
                <xsd:element ref="ns2:SDDocumentSource" minOccurs="0"/>
                <xsd:element ref="ns2:SDAuthor" minOccurs="0"/>
                <xsd:element ref="ns2:SDDocDate" minOccurs="0"/>
                <xsd:element ref="ns2:SDHebDate" minOccurs="0"/>
                <xsd:element ref="ns2:SDOriginalID" minOccurs="0"/>
                <xsd:element ref="ns2:SDOfflineTo" minOccurs="0"/>
                <xsd:element ref="ns2:SDAsmachta" minOccurs="0"/>
                <xsd:element ref="ns2:SDImportance" minOccurs="0"/>
                <xsd:element ref="ns2:SDLastSigningDate" minOccurs="0"/>
                <xsd:element ref="ns2:SDNumOfSignatures" minOccurs="0"/>
                <xsd:element ref="ns2:SDSignersLogins" minOccurs="0"/>
                <xsd:element ref="ns2:ARCHIVEINDICATION" minOccurs="0"/>
                <xsd:element ref="ns2:DOCUMENTTYPE" minOccurs="0"/>
                <xsd:element ref="ns2:DRAGOBJID" minOccurs="0"/>
                <xsd:element ref="ns2:FILEEXT" minOccurs="0"/>
                <xsd:element ref="ns2:ISPUBLIC" minOccurs="0"/>
                <xsd:element ref="ns2:LANGUAGE" minOccurs="0"/>
                <xsd:element ref="ns2:OWNER" minOccurs="0"/>
                <xsd:element ref="ns2:PRODUCER" minOccurs="0"/>
                <xsd:element ref="ns2:REGISTRATIONNUMBER" minOccurs="0"/>
                <xsd:element ref="ns2:REQUESTNUMBER" minOccurs="0"/>
                <xsd:element ref="ns2:REQUESTTYPE" minOccurs="0"/>
                <xsd:element ref="ns2:SAPNAME" minOccurs="0"/>
                <xsd:element ref="ns2:UCOMMENTS" minOccurs="0"/>
                <xsd:element ref="ns2:UPDATEDBY" minOccurs="0"/>
                <xsd:element ref="ns2:SDExternalEntityConnec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a4c6fd-81d3-45cd-9c6e-532faaa0cf23" elementFormDefault="qualified">
    <xsd:import namespace="http://schemas.microsoft.com/office/2006/documentManagement/types"/>
    <xsd:import namespace="http://schemas.microsoft.com/office/infopath/2007/PartnerControls"/>
    <xsd:element name="AutoNumber" ma:index="1" nillable="true" ma:displayName="AutoNumber" ma:indexed="true" ma:internalName="AutoNumber">
      <xsd:simpleType>
        <xsd:restriction base="dms:Text"/>
      </xsd:simpleType>
    </xsd:element>
    <xsd:element name="SDCategories" ma:index="2" nillable="true" ma:displayName="SDCategories" ma:internalName="SDCategories">
      <xsd:simpleType>
        <xsd:restriction base="dms:Note"/>
      </xsd:simpleType>
    </xsd:element>
    <xsd:element name="SDCategoryID" ma:index="3" nillable="true" ma:displayName="SDCategoryID" ma:indexed="true" ma:internalName="SDCategoryID">
      <xsd:simpleType>
        <xsd:restriction base="dms:Text"/>
      </xsd:simpleType>
    </xsd:element>
    <xsd:element name="SDDocumentSource" ma:index="4" nillable="true" ma:displayName="SDDocumentSource" ma:internalName="SDDocumentSource">
      <xsd:simpleType>
        <xsd:restriction base="dms:Choice">
          <xsd:enumeration value="SDFileUpload"/>
          <xsd:enumeration value="SDNewFile"/>
          <xsd:enumeration value="SDMultiFilesUpload"/>
          <xsd:enumeration value="OutlookExtender"/>
          <xsd:enumeration value="SDMigration"/>
          <xsd:enumeration value="OfficeAddIn"/>
          <xsd:enumeration value="ArchiveScan"/>
          <xsd:enumeration value="PCDocs"/>
          <xsd:enumeration value="PST"/>
          <xsd:enumeration value="D2K"/>
          <xsd:enumeration value="Menahel"/>
          <xsd:enumeration value="ShipmentLoader"/>
          <xsd:enumeration value="PoliceOffices"/>
          <xsd:enumeration value="AGATForms"/>
          <xsd:enumeration value="SDK"/>
          <xsd:enumeration value="Other"/>
        </xsd:restriction>
      </xsd:simpleType>
    </xsd:element>
    <xsd:element name="SDAuthor" ma:index="5" nillable="true" ma:displayName="SDAuthor" ma:indexed="true" ma:internalName="SDAuthor">
      <xsd:simpleType>
        <xsd:restriction base="dms:Text"/>
      </xsd:simpleType>
    </xsd:element>
    <xsd:element name="SDDocDate" ma:index="6" nillable="true" ma:displayName="SDDocDate" ma:indexed="true" ma:internalName="SDDocDate">
      <xsd:simpleType>
        <xsd:restriction base="dms:DateTime"/>
      </xsd:simpleType>
    </xsd:element>
    <xsd:element name="SDHebDate" ma:index="7" nillable="true" ma:displayName="SDHebDate" ma:internalName="SDHebDate">
      <xsd:simpleType>
        <xsd:restriction base="dms:Text"/>
      </xsd:simpleType>
    </xsd:element>
    <xsd:element name="SDOriginalID" ma:index="8" nillable="true" ma:displayName="SDOriginalID" ma:internalName="SDOriginalID">
      <xsd:simpleType>
        <xsd:restriction base="dms:Text"/>
      </xsd:simpleType>
    </xsd:element>
    <xsd:element name="SDOfflineTo" ma:index="9" nillable="true" ma:displayName="SDOfflineTo" ma:internalName="SDOfflineTo">
      <xsd:simpleType>
        <xsd:restriction base="dms:Text"/>
      </xsd:simpleType>
    </xsd:element>
    <xsd:element name="SDAsmachta" ma:index="10" nillable="true" ma:displayName="SDAsmachta" ma:internalName="SDAsmachta">
      <xsd:simpleType>
        <xsd:restriction base="dms:Text"/>
      </xsd:simpleType>
    </xsd:element>
    <xsd:element name="SDImportance" ma:index="11" nillable="true" ma:displayName="SDImportance" ma:internalName="SDImportance">
      <xsd:simpleType>
        <xsd:restriction base="dms:Number"/>
      </xsd:simpleType>
    </xsd:element>
    <xsd:element name="SDLastSigningDate" ma:index="12" nillable="true" ma:displayName="SDLastSigningDate" ma:internalName="SDLastSigningDate">
      <xsd:simpleType>
        <xsd:restriction base="dms:DateTime"/>
      </xsd:simpleType>
    </xsd:element>
    <xsd:element name="SDNumOfSignatures" ma:index="13" nillable="true" ma:displayName="SDNumOfSignatures" ma:internalName="SDNumOfSignatures">
      <xsd:simpleType>
        <xsd:restriction base="dms:Number"/>
      </xsd:simpleType>
    </xsd:element>
    <xsd:element name="SDSignersLogins" ma:index="14" nillable="true" ma:displayName="SDSignersLogins" ma:internalName="SDSignersLogins">
      <xsd:simpleType>
        <xsd:restriction base="dms:Text"/>
      </xsd:simpleType>
    </xsd:element>
    <xsd:element name="ARCHIVEINDICATION" ma:index="15" nillable="true" ma:displayName="האם הועלה דרך הארכיון" ma:default="" ma:internalName="ARCHIVEINDICATION">
      <xsd:simpleType>
        <xsd:restriction base="dms:Number"/>
      </xsd:simpleType>
    </xsd:element>
    <xsd:element name="DOCUMENTTYPE" ma:index="16" nillable="true" ma:displayName="סוג מסמך" ma:default="" ma:internalName="DOCUMENTTYPE">
      <xsd:simpleType>
        <xsd:restriction base="dms:Text"/>
      </xsd:simpleType>
    </xsd:element>
    <xsd:element name="DRAGOBJID" ma:index="17" nillable="true" ma:displayName="מספר תכשיר" ma:default="" ma:internalName="DRAGOBJID">
      <xsd:simpleType>
        <xsd:restriction base="dms:Text"/>
      </xsd:simpleType>
    </xsd:element>
    <xsd:element name="FILEEXT" ma:index="18" nillable="true" ma:displayName="סיומת קובץ" ma:default="" ma:internalName="FILEEXT">
      <xsd:simpleType>
        <xsd:restriction base="dms:Text"/>
      </xsd:simpleType>
    </xsd:element>
    <xsd:element name="ISPUBLIC" ma:index="19" nillable="true" ma:displayName="האם מיוצא לאינטרנט" ma:internalName="ISPUBLIC">
      <xsd:simpleType>
        <xsd:restriction base="dms:Text">
          <xsd:maxLength value="255"/>
        </xsd:restriction>
      </xsd:simpleType>
    </xsd:element>
    <xsd:element name="LANGUAGE" ma:index="20" nillable="true" ma:displayName="שפה" ma:internalName="LANGUAGE">
      <xsd:simpleType>
        <xsd:restriction base="dms:Text">
          <xsd:maxLength value="255"/>
        </xsd:restriction>
      </xsd:simpleType>
    </xsd:element>
    <xsd:element name="OWNER" ma:index="21" nillable="true" ma:displayName="בעל רישום" ma:internalName="OWNER">
      <xsd:simpleType>
        <xsd:restriction base="dms:Text">
          <xsd:maxLength value="255"/>
        </xsd:restriction>
      </xsd:simpleType>
    </xsd:element>
    <xsd:element name="PRODUCER" ma:index="22" nillable="true" ma:displayName="יצרן" ma:internalName="PRODUCER">
      <xsd:simpleType>
        <xsd:restriction base="dms:Text">
          <xsd:maxLength value="255"/>
        </xsd:restriction>
      </xsd:simpleType>
    </xsd:element>
    <xsd:element name="REGISTRATIONNUMBER" ma:index="23" nillable="true" ma:displayName="מספר רישום" ma:default="" ma:internalName="REGISTRATIONNUMBER">
      <xsd:simpleType>
        <xsd:restriction base="dms:Text"/>
      </xsd:simpleType>
    </xsd:element>
    <xsd:element name="REQUESTNUMBER" ma:index="24" nillable="true" ma:displayName="מספר פניה" ma:internalName="REQUESTNUMBER">
      <xsd:simpleType>
        <xsd:restriction base="dms:Text">
          <xsd:maxLength value="255"/>
        </xsd:restriction>
      </xsd:simpleType>
    </xsd:element>
    <xsd:element name="REQUESTTYPE" ma:index="25" nillable="true" ma:displayName="סוג פניה" ma:default="" ma:internalName="REQUESTTYPE">
      <xsd:simpleType>
        <xsd:restriction base="dms:Text"/>
      </xsd:simpleType>
    </xsd:element>
    <xsd:element name="SAPNAME" ma:index="26" nillable="true" ma:displayName="משתמש יוצר" ma:default="" ma:internalName="SAPNAME">
      <xsd:simpleType>
        <xsd:restriction base="dms:Text"/>
      </xsd:simpleType>
    </xsd:element>
    <xsd:element name="UCOMMENTS" ma:index="27" nillable="true" ma:displayName="הערות" ma:default="" ma:internalName="UCOMMENTS">
      <xsd:simpleType>
        <xsd:restriction base="dms:Text"/>
      </xsd:simpleType>
    </xsd:element>
    <xsd:element name="UPDATEDBY" ma:index="28" nillable="true" ma:displayName="משתמש מעדכן" ma:default="" ma:internalName="UPDATEDBY">
      <xsd:simpleType>
        <xsd:restriction base="dms:Text"/>
      </xsd:simpleType>
    </xsd:element>
    <xsd:element name="SDExternalEntityConnected" ma:index="29" nillable="true" ma:displayName="מקושר לאפליקציה חיצונית" ma:internalName="SDExternalEntityConnect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E59AF9-1BEE-4BDB-BB8A-5FC6AE6FC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f1b2ce-0152-4638-a0cb-eafad1900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EEA66D-7ED9-43E5-9E97-662E5941D47C}">
  <ds:schemaRefs>
    <ds:schemaRef ds:uri="http://schemas.microsoft.com/office/2006/metadata/longProperties"/>
  </ds:schemaRefs>
</ds:datastoreItem>
</file>

<file path=customXml/itemProps3.xml><?xml version="1.0" encoding="utf-8"?>
<ds:datastoreItem xmlns:ds="http://schemas.openxmlformats.org/officeDocument/2006/customXml" ds:itemID="{93C081EF-9F60-4D35-ACD4-88A2324B171C}">
  <ds:schemaRefs>
    <ds:schemaRef ds:uri="http://schemas.openxmlformats.org/officeDocument/2006/bibliography"/>
  </ds:schemaRefs>
</ds:datastoreItem>
</file>

<file path=customXml/itemProps4.xml><?xml version="1.0" encoding="utf-8"?>
<ds:datastoreItem xmlns:ds="http://schemas.openxmlformats.org/officeDocument/2006/customXml" ds:itemID="{0CACEE6A-4850-4D8B-97B3-C79CBC42B592}">
  <ds:schemaRefs>
    <ds:schemaRef ds:uri="http://schemas.microsoft.com/sharepoint/v3/contenttype/forms"/>
  </ds:schemaRefs>
</ds:datastoreItem>
</file>

<file path=customXml/itemProps5.xml><?xml version="1.0" encoding="utf-8"?>
<ds:datastoreItem xmlns:ds="http://schemas.openxmlformats.org/officeDocument/2006/customXml" ds:itemID="{3D395BCF-D53A-4595-99AE-AA8E368C30A1}">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D6FEB331-5FF2-4F33-BCEB-A3A10C01428E}">
  <ds:schemaRefs>
    <ds:schemaRef ds:uri="http://schemas.microsoft.com/sharepoint/v3/contenttype/forms"/>
  </ds:schemaRefs>
</ds:datastoreItem>
</file>

<file path=customXml/itemProps7.xml><?xml version="1.0" encoding="utf-8"?>
<ds:datastoreItem xmlns:ds="http://schemas.openxmlformats.org/officeDocument/2006/customXml" ds:itemID="{1A199ED6-CEAD-4D47-8D58-56990A922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a4c6fd-81d3-45cd-9c6e-532faaa0cf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ca48ea3-8c75-4d36-b64f-70604b11fd22}" enabled="1" method="Standard" siteId="{3ac94b33-9135-4821-9502-eafda6592a35}"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1</Pages>
  <Words>13105</Words>
  <Characters>67098</Characters>
  <Application>Microsoft Office Word</Application>
  <DocSecurity>0</DocSecurity>
  <Lines>1636</Lines>
  <Paragraphs>1336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Darzalex II-39 EN PI clean</vt:lpstr>
      <vt:lpstr>Darzalex II-39 EN PI clean</vt:lpstr>
    </vt:vector>
  </TitlesOfParts>
  <Company>European Medicines Agency</Company>
  <LinksUpToDate>false</LinksUpToDate>
  <CharactersWithSpaces>78867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Darzalex II-39 EN PI clean</dc:title>
  <dc:creator>PIQ-QRD</dc:creator>
  <cp:lastModifiedBy>Lapidot, Yael [JNJIL]</cp:lastModifiedBy>
  <cp:revision>5</cp:revision>
  <cp:lastPrinted>2016-02-15T13:13:00Z</cp:lastPrinted>
  <dcterms:created xsi:type="dcterms:W3CDTF">2026-02-18T08:25:00Z</dcterms:created>
  <dcterms:modified xsi:type="dcterms:W3CDTF">2026-02-18T08:46:00Z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CHIVEINDICATION">
    <vt:lpwstr>2.00000000000000</vt:lpwstr>
  </property>
  <property fmtid="{D5CDD505-2E9C-101B-9397-08002B2CF9AE}" pid="3" name="AutoNumber">
    <vt:lpwstr>408602119</vt:lpwstr>
  </property>
  <property fmtid="{D5CDD505-2E9C-101B-9397-08002B2CF9AE}" pid="4" name="ContentTypeId">
    <vt:lpwstr>0x010100CE66C4FB0C246840BAD6B965F8A186A6</vt:lpwstr>
  </property>
  <property fmtid="{D5CDD505-2E9C-101B-9397-08002B2CF9AE}" pid="5" name="DM_Author">
    <vt:lpwstr/>
  </property>
  <property fmtid="{D5CDD505-2E9C-101B-9397-08002B2CF9AE}" pid="6" name="DM_Authors">
    <vt:lpwstr/>
  </property>
  <property fmtid="{D5CDD505-2E9C-101B-9397-08002B2CF9AE}" pid="7" name="DM_Category">
    <vt:lpwstr>Product Information</vt:lpwstr>
  </property>
  <property fmtid="{D5CDD505-2E9C-101B-9397-08002B2CF9AE}" pid="8" name="DM_Creation_Date">
    <vt:lpwstr>05/06/2020 18:02:50</vt:lpwstr>
  </property>
  <property fmtid="{D5CDD505-2E9C-101B-9397-08002B2CF9AE}" pid="9" name="DM_Creator_Name">
    <vt:lpwstr>Belonina Irina</vt:lpwstr>
  </property>
  <property fmtid="{D5CDD505-2E9C-101B-9397-08002B2CF9AE}" pid="10" name="DM_DocRefId">
    <vt:lpwstr>EMA/309199/2020</vt:lpwstr>
  </property>
  <property fmtid="{D5CDD505-2E9C-101B-9397-08002B2CF9AE}" pid="11" name="DM_emea_bcc">
    <vt:lpwstr/>
  </property>
  <property fmtid="{D5CDD505-2E9C-101B-9397-08002B2CF9AE}" pid="12" name="DM_emea_cc">
    <vt:lpwstr/>
  </property>
  <property fmtid="{D5CDD505-2E9C-101B-9397-08002B2CF9AE}" pid="13" name="DM_emea_doc_category">
    <vt:lpwstr>General</vt:lpwstr>
  </property>
  <property fmtid="{D5CDD505-2E9C-101B-9397-08002B2CF9AE}" pid="14" name="DM_emea_doc_lang">
    <vt:lpwstr/>
  </property>
  <property fmtid="{D5CDD505-2E9C-101B-9397-08002B2CF9AE}" pid="15" name="DM_emea_doc_number">
    <vt:lpwstr>423415</vt:lpwstr>
  </property>
  <property fmtid="{D5CDD505-2E9C-101B-9397-08002B2CF9AE}" pid="16" name="DM_emea_doc_ref_id">
    <vt:lpwstr>EMA/309199/2020</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meeting_action">
    <vt:lpwstr/>
  </property>
  <property fmtid="{D5CDD505-2E9C-101B-9397-08002B2CF9AE}" pid="21" name="DM_emea_meeting_flags">
    <vt:lpwstr/>
  </property>
  <property fmtid="{D5CDD505-2E9C-101B-9397-08002B2CF9AE}" pid="22" name="DM_emea_meeting_hyperlink">
    <vt:lpwstr/>
  </property>
  <property fmtid="{D5CDD505-2E9C-101B-9397-08002B2CF9AE}" pid="23" name="DM_emea_meeting_ref">
    <vt:lpwstr/>
  </property>
  <property fmtid="{D5CDD505-2E9C-101B-9397-08002B2CF9AE}" pid="24" name="DM_emea_meeting_status">
    <vt:lpwstr/>
  </property>
  <property fmtid="{D5CDD505-2E9C-101B-9397-08002B2CF9AE}" pid="25" name="DM_emea_meeting_title">
    <vt:lpwstr/>
  </property>
  <property fmtid="{D5CDD505-2E9C-101B-9397-08002B2CF9AE}" pid="26" name="DM_emea_message_subject">
    <vt:lpwstr/>
  </property>
  <property fmtid="{D5CDD505-2E9C-101B-9397-08002B2CF9AE}" pid="27" name="DM_emea_received_date">
    <vt:lpwstr>nulldate</vt:lpwstr>
  </property>
  <property fmtid="{D5CDD505-2E9C-101B-9397-08002B2CF9AE}" pid="28" name="DM_emea_resp_body">
    <vt:lpwstr/>
  </property>
  <property fmtid="{D5CDD505-2E9C-101B-9397-08002B2CF9AE}" pid="29" name="DM_emea_revision_label">
    <vt:lpwstr/>
  </property>
  <property fmtid="{D5CDD505-2E9C-101B-9397-08002B2CF9AE}" pid="30" name="DM_emea_sent_date">
    <vt:lpwstr>nulldate</vt:lpwstr>
  </property>
  <property fmtid="{D5CDD505-2E9C-101B-9397-08002B2CF9AE}" pid="31" name="DM_emea_to">
    <vt:lpwstr/>
  </property>
  <property fmtid="{D5CDD505-2E9C-101B-9397-08002B2CF9AE}" pid="32" name="DM_emea_year">
    <vt:lpwstr>2010</vt:lpwstr>
  </property>
  <property fmtid="{D5CDD505-2E9C-101B-9397-08002B2CF9AE}" pid="33" name="DM_Keywords">
    <vt:lpwstr/>
  </property>
  <property fmtid="{D5CDD505-2E9C-101B-9397-08002B2CF9AE}" pid="34" name="DM_Language">
    <vt:lpwstr/>
  </property>
  <property fmtid="{D5CDD505-2E9C-101B-9397-08002B2CF9AE}" pid="35" name="DM_Modifer_Name">
    <vt:lpwstr>Belonina Irina</vt:lpwstr>
  </property>
  <property fmtid="{D5CDD505-2E9C-101B-9397-08002B2CF9AE}" pid="36" name="DM_Modified_Date">
    <vt:lpwstr>09/06/2020 14:04:13</vt:lpwstr>
  </property>
  <property fmtid="{D5CDD505-2E9C-101B-9397-08002B2CF9AE}" pid="37" name="DM_Modifier_Name">
    <vt:lpwstr>Belonina Irina</vt:lpwstr>
  </property>
  <property fmtid="{D5CDD505-2E9C-101B-9397-08002B2CF9AE}" pid="38" name="DM_Modify_Date">
    <vt:lpwstr>09/06/2020 14:04:13</vt:lpwstr>
  </property>
  <property fmtid="{D5CDD505-2E9C-101B-9397-08002B2CF9AE}" pid="39" name="DM_Name">
    <vt:lpwstr>Darzalex II-39 EN PI clean</vt:lpwstr>
  </property>
  <property fmtid="{D5CDD505-2E9C-101B-9397-08002B2CF9AE}" pid="40" name="DM_Owner">
    <vt:lpwstr>Espinasse Claire</vt:lpwstr>
  </property>
  <property fmtid="{D5CDD505-2E9C-101B-9397-08002B2CF9AE}" pid="41" name="DM_Path">
    <vt:lpwstr>/01. Evaluation of Medicines/H-C/D-F/Darzalex - 004077/05 Post Authorisation/Post Activities/2020-xx-xx-4077-II-0039/03. Opinion</vt:lpwstr>
  </property>
  <property fmtid="{D5CDD505-2E9C-101B-9397-08002B2CF9AE}" pid="42" name="DM_Status">
    <vt:lpwstr/>
  </property>
  <property fmtid="{D5CDD505-2E9C-101B-9397-08002B2CF9AE}" pid="43" name="DM_Subject">
    <vt:lpwstr/>
  </property>
  <property fmtid="{D5CDD505-2E9C-101B-9397-08002B2CF9AE}" pid="44" name="DM_Title">
    <vt:lpwstr/>
  </property>
  <property fmtid="{D5CDD505-2E9C-101B-9397-08002B2CF9AE}" pid="45" name="DM_Type">
    <vt:lpwstr>emea_document</vt:lpwstr>
  </property>
  <property fmtid="{D5CDD505-2E9C-101B-9397-08002B2CF9AE}" pid="46" name="DM_Version">
    <vt:lpwstr>1.0,CURRENT</vt:lpwstr>
  </property>
  <property fmtid="{D5CDD505-2E9C-101B-9397-08002B2CF9AE}" pid="47" name="DOCUMENTTYPE">
    <vt:lpwstr>5</vt:lpwstr>
  </property>
  <property fmtid="{D5CDD505-2E9C-101B-9397-08002B2CF9AE}" pid="48" name="DRAGOBJID">
    <vt:lpwstr>3471900</vt:lpwstr>
  </property>
  <property fmtid="{D5CDD505-2E9C-101B-9397-08002B2CF9AE}" pid="49" name="FILEEXT">
    <vt:lpwstr>doc</vt:lpwstr>
  </property>
  <property fmtid="{D5CDD505-2E9C-101B-9397-08002B2CF9AE}" pid="50" name="GrammarlyDocumentId">
    <vt:lpwstr>204876f5711113579c6e6392194a2de2539c5b4409044d8832367ee4de516368</vt:lpwstr>
  </property>
  <property fmtid="{D5CDD505-2E9C-101B-9397-08002B2CF9AE}" pid="51" name="ISPUBLIC">
    <vt:lpwstr>0</vt:lpwstr>
  </property>
  <property fmtid="{D5CDD505-2E9C-101B-9397-08002B2CF9AE}" pid="52" name="LANGUAGE">
    <vt:lpwstr>_</vt:lpwstr>
  </property>
  <property fmtid="{D5CDD505-2E9C-101B-9397-08002B2CF9AE}" pid="53" name="OWNER">
    <vt:lpwstr>846</vt:lpwstr>
  </property>
  <property fmtid="{D5CDD505-2E9C-101B-9397-08002B2CF9AE}" pid="54" name="PRODUCER">
    <vt:lpwstr>104229</vt:lpwstr>
  </property>
  <property fmtid="{D5CDD505-2E9C-101B-9397-08002B2CF9AE}" pid="55" name="REGISTRATIONNUMBER">
    <vt:lpwstr>157-75-34719-00</vt:lpwstr>
  </property>
  <property fmtid="{D5CDD505-2E9C-101B-9397-08002B2CF9AE}" pid="56" name="REQUESTNUMBER">
    <vt:lpwstr>125145</vt:lpwstr>
  </property>
  <property fmtid="{D5CDD505-2E9C-101B-9397-08002B2CF9AE}" pid="57" name="REQUESTTYPE">
    <vt:lpwstr>2</vt:lpwstr>
  </property>
  <property fmtid="{D5CDD505-2E9C-101B-9397-08002B2CF9AE}" pid="58" name="SAPNAME">
    <vt:lpwstr>465</vt:lpwstr>
  </property>
  <property fmtid="{D5CDD505-2E9C-101B-9397-08002B2CF9AE}" pid="59" name="SDAsmachta">
    <vt:lpwstr/>
  </property>
  <property fmtid="{D5CDD505-2E9C-101B-9397-08002B2CF9AE}" pid="60" name="SDAuthor">
    <vt:lpwstr>Sharedocs_reg</vt:lpwstr>
  </property>
  <property fmtid="{D5CDD505-2E9C-101B-9397-08002B2CF9AE}" pid="61" name="SDCategories">
    <vt:lpwstr/>
  </property>
  <property fmtid="{D5CDD505-2E9C-101B-9397-08002B2CF9AE}" pid="62" name="SDCategoryID">
    <vt:lpwstr/>
  </property>
  <property fmtid="{D5CDD505-2E9C-101B-9397-08002B2CF9AE}" pid="63" name="SDDocDate">
    <vt:lpwstr>1903-03-03T08:00:01Z</vt:lpwstr>
  </property>
  <property fmtid="{D5CDD505-2E9C-101B-9397-08002B2CF9AE}" pid="64" name="SDDocumentSource">
    <vt:lpwstr/>
  </property>
  <property fmtid="{D5CDD505-2E9C-101B-9397-08002B2CF9AE}" pid="65" name="SDExternalEntityConnected">
    <vt:lpwstr/>
  </property>
  <property fmtid="{D5CDD505-2E9C-101B-9397-08002B2CF9AE}" pid="66" name="SDHebDate">
    <vt:lpwstr>ד' באדר, התרס"ג</vt:lpwstr>
  </property>
  <property fmtid="{D5CDD505-2E9C-101B-9397-08002B2CF9AE}" pid="67" name="SDImportance">
    <vt:lpwstr/>
  </property>
  <property fmtid="{D5CDD505-2E9C-101B-9397-08002B2CF9AE}" pid="68" name="SDLastSigningDate">
    <vt:lpwstr/>
  </property>
  <property fmtid="{D5CDD505-2E9C-101B-9397-08002B2CF9AE}" pid="69" name="SDNumOfSignatures">
    <vt:lpwstr/>
  </property>
  <property fmtid="{D5CDD505-2E9C-101B-9397-08002B2CF9AE}" pid="70" name="SDOfflineTo">
    <vt:lpwstr/>
  </property>
  <property fmtid="{D5CDD505-2E9C-101B-9397-08002B2CF9AE}" pid="71" name="SDOriginalID">
    <vt:lpwstr/>
  </property>
  <property fmtid="{D5CDD505-2E9C-101B-9397-08002B2CF9AE}" pid="72" name="SDSignersLogins">
    <vt:lpwstr/>
  </property>
  <property fmtid="{D5CDD505-2E9C-101B-9397-08002B2CF9AE}" pid="73" name="UCOMMENTS">
    <vt:lpwstr>עלון לרופא מאושר בעקבות החמרות ושינוי התוויה</vt:lpwstr>
  </property>
  <property fmtid="{D5CDD505-2E9C-101B-9397-08002B2CF9AE}" pid="74" name="UPDATEDBY">
    <vt:lpwstr>465</vt:lpwstr>
  </property>
</Properties>
</file>